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75EBE" w14:textId="77777777" w:rsidR="007D2A0B" w:rsidRPr="00392A20" w:rsidRDefault="00C67EF0" w:rsidP="00392A20">
      <w:pPr>
        <w:pStyle w:val="Heading10"/>
        <w:keepNext/>
        <w:keepLines/>
        <w:shd w:val="clear" w:color="auto" w:fill="auto"/>
        <w:spacing w:after="0" w:line="240" w:lineRule="exact"/>
      </w:pPr>
      <w:bookmarkStart w:id="0" w:name="bookmark0"/>
      <w:r w:rsidRPr="00392A20">
        <w:t xml:space="preserve">Consiliul de </w:t>
      </w:r>
      <w:r w:rsidR="00AE0717" w:rsidRPr="00392A20">
        <w:t>administrație</w:t>
      </w:r>
      <w:r w:rsidRPr="00392A20">
        <w:t xml:space="preserve"> al ANRE</w:t>
      </w:r>
      <w:bookmarkEnd w:id="0"/>
    </w:p>
    <w:p w14:paraId="278A6F93" w14:textId="77777777" w:rsidR="00AB7314" w:rsidRPr="00392A20" w:rsidRDefault="00AB7314" w:rsidP="00392A20">
      <w:pPr>
        <w:pStyle w:val="Heading10"/>
        <w:keepNext/>
        <w:keepLines/>
        <w:shd w:val="clear" w:color="auto" w:fill="auto"/>
        <w:spacing w:after="0" w:line="240" w:lineRule="exact"/>
        <w:jc w:val="center"/>
      </w:pPr>
      <w:bookmarkStart w:id="1" w:name="bookmark1"/>
    </w:p>
    <w:p w14:paraId="4A505452" w14:textId="77777777" w:rsidR="004F3D46" w:rsidRDefault="00C67EF0" w:rsidP="007231AA">
      <w:pPr>
        <w:pStyle w:val="Heading10"/>
        <w:keepNext/>
        <w:keepLines/>
        <w:spacing w:after="0"/>
        <w:jc w:val="center"/>
        <w:rPr>
          <w:lang w:val="ro-MD"/>
        </w:rPr>
      </w:pPr>
      <w:r w:rsidRPr="00392A20">
        <w:t xml:space="preserve">Notă </w:t>
      </w:r>
      <w:bookmarkEnd w:id="1"/>
      <w:r w:rsidR="00BC04F7">
        <w:rPr>
          <w:lang w:val="ro-MD"/>
        </w:rPr>
        <w:t>de argumentare</w:t>
      </w:r>
    </w:p>
    <w:p w14:paraId="5C314CD7" w14:textId="21F8E442" w:rsidR="007231AA" w:rsidRPr="007231AA" w:rsidRDefault="00136FB2" w:rsidP="004F3D46">
      <w:pPr>
        <w:pStyle w:val="Heading10"/>
        <w:keepNext/>
        <w:keepLines/>
        <w:spacing w:before="120" w:after="0"/>
        <w:jc w:val="center"/>
        <w:rPr>
          <w:lang w:val="ro-MD"/>
        </w:rPr>
      </w:pPr>
      <w:r w:rsidRPr="00136FB2">
        <w:rPr>
          <w:lang w:val="ro-MD"/>
        </w:rPr>
        <w:t xml:space="preserve">privind </w:t>
      </w:r>
      <w:r w:rsidR="007231AA" w:rsidRPr="007231AA">
        <w:rPr>
          <w:lang w:val="ro-MD"/>
        </w:rPr>
        <w:t>aprobarea cuantumul</w:t>
      </w:r>
      <w:r w:rsidR="00881B3E">
        <w:rPr>
          <w:lang w:val="ro-MD"/>
        </w:rPr>
        <w:t>ui</w:t>
      </w:r>
      <w:r w:rsidR="007231AA" w:rsidRPr="007231AA">
        <w:rPr>
          <w:lang w:val="ro-MD"/>
        </w:rPr>
        <w:t xml:space="preserve"> plății pentru utilizarea </w:t>
      </w:r>
    </w:p>
    <w:p w14:paraId="523579BA" w14:textId="59F21C1D" w:rsidR="007231AA" w:rsidRDefault="007231AA" w:rsidP="004F3D46">
      <w:pPr>
        <w:pStyle w:val="Heading10"/>
        <w:keepNext/>
        <w:keepLines/>
        <w:spacing w:after="240" w:line="240" w:lineRule="auto"/>
        <w:jc w:val="center"/>
        <w:rPr>
          <w:lang w:val="ro-MD"/>
        </w:rPr>
      </w:pPr>
      <w:r w:rsidRPr="007231AA">
        <w:rPr>
          <w:lang w:val="ro-MD"/>
        </w:rPr>
        <w:t>Registrului garanțiilor de origine pentru anul 2026</w:t>
      </w:r>
    </w:p>
    <w:p w14:paraId="2B7E66C6" w14:textId="258AA054" w:rsidR="00136FB2" w:rsidRDefault="00136FB2" w:rsidP="00072FFA">
      <w:pPr>
        <w:pStyle w:val="Bodytext20"/>
        <w:spacing w:before="120" w:after="0" w:line="240" w:lineRule="auto"/>
        <w:ind w:firstLine="562"/>
        <w:rPr>
          <w:sz w:val="24"/>
          <w:szCs w:val="24"/>
        </w:rPr>
      </w:pPr>
      <w:r w:rsidRPr="00136FB2">
        <w:rPr>
          <w:sz w:val="24"/>
          <w:szCs w:val="24"/>
        </w:rPr>
        <w:t xml:space="preserve">În </w:t>
      </w:r>
      <w:r>
        <w:rPr>
          <w:sz w:val="24"/>
          <w:szCs w:val="24"/>
        </w:rPr>
        <w:t>conformitate cu prevederile</w:t>
      </w:r>
      <w:r w:rsidRPr="00136FB2">
        <w:rPr>
          <w:sz w:val="24"/>
          <w:szCs w:val="24"/>
        </w:rPr>
        <w:t xml:space="preserve"> Legii nr. 10/2016 privind promovarea utilizării energiei din surse regenerabile </w:t>
      </w:r>
      <w:r w:rsidRPr="00136FB2">
        <w:rPr>
          <w:i/>
          <w:sz w:val="24"/>
          <w:szCs w:val="24"/>
        </w:rPr>
        <w:t>(în continuare - Legea nr. 10/2016)</w:t>
      </w:r>
      <w:r>
        <w:rPr>
          <w:sz w:val="24"/>
          <w:szCs w:val="24"/>
        </w:rPr>
        <w:t xml:space="preserve"> o </w:t>
      </w:r>
      <w:r w:rsidRPr="00136FB2">
        <w:rPr>
          <w:sz w:val="24"/>
          <w:szCs w:val="24"/>
        </w:rPr>
        <w:t xml:space="preserve">garanție de origine </w:t>
      </w:r>
      <w:r>
        <w:rPr>
          <w:sz w:val="24"/>
          <w:szCs w:val="24"/>
        </w:rPr>
        <w:t>reprezintă un</w:t>
      </w:r>
      <w:r w:rsidRPr="00136FB2">
        <w:rPr>
          <w:sz w:val="24"/>
          <w:szCs w:val="24"/>
        </w:rPr>
        <w:t xml:space="preserve"> document electronic eliberat cu scopul de a demonstra unui consumator final că o cantitate de energie electrică furnizată acestuia a fost produsă di</w:t>
      </w:r>
      <w:r>
        <w:rPr>
          <w:sz w:val="24"/>
          <w:szCs w:val="24"/>
        </w:rPr>
        <w:t xml:space="preserve">n surse regenerabile de energie. </w:t>
      </w:r>
    </w:p>
    <w:p w14:paraId="2B39945F" w14:textId="009A0988" w:rsidR="00136FB2" w:rsidRPr="00D032A7" w:rsidRDefault="00072FFA" w:rsidP="00072FFA">
      <w:pPr>
        <w:pStyle w:val="Bodytext20"/>
        <w:spacing w:before="120" w:after="0" w:line="240" w:lineRule="auto"/>
        <w:ind w:firstLine="562"/>
        <w:rPr>
          <w:sz w:val="24"/>
          <w:szCs w:val="24"/>
        </w:rPr>
      </w:pPr>
      <w:r>
        <w:rPr>
          <w:sz w:val="24"/>
          <w:szCs w:val="24"/>
        </w:rPr>
        <w:t>C</w:t>
      </w:r>
      <w:r w:rsidR="00136FB2">
        <w:rPr>
          <w:sz w:val="24"/>
          <w:szCs w:val="24"/>
        </w:rPr>
        <w:t>onform art. 31, alin. (2) din Legea nr. 10/2016 g</w:t>
      </w:r>
      <w:r w:rsidR="00136FB2" w:rsidRPr="00136FB2">
        <w:rPr>
          <w:sz w:val="24"/>
          <w:szCs w:val="24"/>
        </w:rPr>
        <w:t xml:space="preserve">aranțiile de origine se emit, se transferă și se anulează în mod </w:t>
      </w:r>
      <w:r w:rsidR="00136FB2" w:rsidRPr="00D032A7">
        <w:rPr>
          <w:sz w:val="24"/>
          <w:szCs w:val="24"/>
        </w:rPr>
        <w:t xml:space="preserve">electronic, în conformitate cu un set de criterii obiective, transparente și nediscriminatorii. Procedura de emitere, de transfer, de anulare și de utilizare a garanției de origine, forma cererii pentru eliberarea unei garanții de origine și forma garanției de origine, precum și modalitatea de utilizare a sistemului informațional al garanțiilor de origine se stabilesc în </w:t>
      </w:r>
      <w:r w:rsidR="007B3570" w:rsidRPr="00661BFD">
        <w:rPr>
          <w:sz w:val="24"/>
          <w:szCs w:val="24"/>
        </w:rPr>
        <w:t xml:space="preserve">Regulamentul privind garanțiile de origine, aprobat prin Hotărârea Consiliul de Administrație al ANRE nr. 402/2025 </w:t>
      </w:r>
      <w:r w:rsidR="007B3570" w:rsidRPr="00141CC4">
        <w:rPr>
          <w:sz w:val="24"/>
          <w:szCs w:val="24"/>
        </w:rPr>
        <w:t>(</w:t>
      </w:r>
      <w:r w:rsidR="007B3570" w:rsidRPr="00141CC4">
        <w:rPr>
          <w:i/>
          <w:sz w:val="24"/>
          <w:szCs w:val="24"/>
        </w:rPr>
        <w:t xml:space="preserve">în continuare - Regulamentul nr. 402/2025) </w:t>
      </w:r>
      <w:r w:rsidR="00136FB2" w:rsidRPr="00141CC4">
        <w:rPr>
          <w:sz w:val="24"/>
          <w:szCs w:val="24"/>
        </w:rPr>
        <w:t xml:space="preserve">elaborat și aprobat de Agenția Națională pentru Reglementare în Energetică. </w:t>
      </w:r>
    </w:p>
    <w:p w14:paraId="5A4EAD6B" w14:textId="77777777" w:rsidR="00072FFA" w:rsidRDefault="00072FFA" w:rsidP="00072FFA">
      <w:pPr>
        <w:pStyle w:val="Bodytext20"/>
        <w:spacing w:before="120" w:after="0" w:line="240" w:lineRule="auto"/>
        <w:ind w:firstLine="562"/>
        <w:rPr>
          <w:sz w:val="24"/>
          <w:szCs w:val="24"/>
        </w:rPr>
      </w:pPr>
      <w:r>
        <w:rPr>
          <w:sz w:val="24"/>
          <w:szCs w:val="24"/>
        </w:rPr>
        <w:t>Astfel</w:t>
      </w:r>
      <w:r w:rsidR="00553949" w:rsidRPr="00D032A7">
        <w:rPr>
          <w:sz w:val="24"/>
          <w:szCs w:val="24"/>
        </w:rPr>
        <w:t>, conform art. 31, alin. (4</w:t>
      </w:r>
      <w:r w:rsidR="00553949" w:rsidRPr="00D032A7">
        <w:rPr>
          <w:sz w:val="24"/>
          <w:szCs w:val="24"/>
          <w:vertAlign w:val="superscript"/>
        </w:rPr>
        <w:t>1</w:t>
      </w:r>
      <w:r w:rsidR="00553949" w:rsidRPr="00D032A7">
        <w:rPr>
          <w:sz w:val="24"/>
          <w:szCs w:val="24"/>
        </w:rPr>
        <w:t>) din Legea nr. 10/2016</w:t>
      </w:r>
      <w:r w:rsidR="00553949" w:rsidRPr="00D032A7">
        <w:t xml:space="preserve"> </w:t>
      </w:r>
      <w:r w:rsidR="00553949" w:rsidRPr="00D032A7">
        <w:rPr>
          <w:sz w:val="24"/>
          <w:szCs w:val="24"/>
        </w:rPr>
        <w:t xml:space="preserve">în scopul emiterii, transferului și anulării garanțiilor de origine, </w:t>
      </w:r>
      <w:r w:rsidR="00553949" w:rsidRPr="00D854FA">
        <w:rPr>
          <w:sz w:val="24"/>
          <w:szCs w:val="24"/>
        </w:rPr>
        <w:t>Agenția</w:t>
      </w:r>
      <w:r w:rsidR="00553949" w:rsidRPr="00D032A7">
        <w:rPr>
          <w:sz w:val="24"/>
          <w:szCs w:val="24"/>
        </w:rPr>
        <w:t xml:space="preserve"> instituie, documentează, și </w:t>
      </w:r>
      <w:r w:rsidR="00553949" w:rsidRPr="00D854FA">
        <w:rPr>
          <w:sz w:val="24"/>
          <w:szCs w:val="24"/>
        </w:rPr>
        <w:t>ține Registrul garanțiilor de origine</w:t>
      </w:r>
      <w:r w:rsidR="00205A5D" w:rsidRPr="00D854FA">
        <w:rPr>
          <w:sz w:val="24"/>
          <w:szCs w:val="24"/>
        </w:rPr>
        <w:t xml:space="preserve"> </w:t>
      </w:r>
      <w:r w:rsidR="00205A5D" w:rsidRPr="00D854FA">
        <w:rPr>
          <w:i/>
          <w:sz w:val="24"/>
          <w:szCs w:val="24"/>
        </w:rPr>
        <w:t>(în continuare - Registru</w:t>
      </w:r>
      <w:r w:rsidR="00D032A7" w:rsidRPr="00D032A7">
        <w:rPr>
          <w:sz w:val="24"/>
          <w:szCs w:val="24"/>
        </w:rPr>
        <w:t>)</w:t>
      </w:r>
      <w:r w:rsidR="00D032A7" w:rsidRPr="00661BFD">
        <w:rPr>
          <w:sz w:val="24"/>
          <w:szCs w:val="24"/>
        </w:rPr>
        <w:t xml:space="preserve">. </w:t>
      </w:r>
    </w:p>
    <w:p w14:paraId="5AFDBD34" w14:textId="72F92007" w:rsidR="00553949" w:rsidRDefault="00072FFA" w:rsidP="00072FFA">
      <w:pPr>
        <w:pStyle w:val="Bodytext20"/>
        <w:spacing w:before="120" w:after="0" w:line="240" w:lineRule="auto"/>
        <w:ind w:firstLine="562"/>
        <w:rPr>
          <w:sz w:val="24"/>
          <w:szCs w:val="24"/>
        </w:rPr>
      </w:pPr>
      <w:r>
        <w:rPr>
          <w:sz w:val="24"/>
          <w:szCs w:val="24"/>
        </w:rPr>
        <w:t>De asemenea, art.</w:t>
      </w:r>
      <w:r w:rsidR="00553949" w:rsidRPr="00661BFD">
        <w:rPr>
          <w:sz w:val="24"/>
          <w:szCs w:val="24"/>
        </w:rPr>
        <w:t xml:space="preserve"> 31, alin. (4</w:t>
      </w:r>
      <w:r w:rsidR="00553949" w:rsidRPr="00661BFD">
        <w:rPr>
          <w:sz w:val="24"/>
          <w:szCs w:val="24"/>
          <w:vertAlign w:val="superscript"/>
        </w:rPr>
        <w:t>4</w:t>
      </w:r>
      <w:r w:rsidR="00553949" w:rsidRPr="00661BFD">
        <w:rPr>
          <w:sz w:val="24"/>
          <w:szCs w:val="24"/>
        </w:rPr>
        <w:t xml:space="preserve">) </w:t>
      </w:r>
      <w:r w:rsidR="00D032A7" w:rsidRPr="00661BFD">
        <w:rPr>
          <w:sz w:val="24"/>
          <w:szCs w:val="24"/>
        </w:rPr>
        <w:t>din Legea nr. 10/2016</w:t>
      </w:r>
      <w:r w:rsidR="00D032A7" w:rsidRPr="00661BFD">
        <w:t xml:space="preserve"> </w:t>
      </w:r>
      <w:r w:rsidR="00553949" w:rsidRPr="00661BFD">
        <w:rPr>
          <w:sz w:val="24"/>
          <w:szCs w:val="24"/>
        </w:rPr>
        <w:t xml:space="preserve">prevede că </w:t>
      </w:r>
      <w:r w:rsidR="00553949" w:rsidRPr="00D854FA">
        <w:rPr>
          <w:sz w:val="24"/>
          <w:szCs w:val="24"/>
        </w:rPr>
        <w:t xml:space="preserve">costurile </w:t>
      </w:r>
      <w:r w:rsidR="00553949" w:rsidRPr="00D032A7">
        <w:rPr>
          <w:sz w:val="24"/>
          <w:szCs w:val="24"/>
        </w:rPr>
        <w:t xml:space="preserve">obiective și justificate suportate de ANRE în vederea operaționalizării Registrului garanțiilor de origine, precum și în vederea emiterii și transferului acestora </w:t>
      </w:r>
      <w:r w:rsidR="00553949" w:rsidRPr="00D854FA">
        <w:rPr>
          <w:sz w:val="24"/>
          <w:szCs w:val="24"/>
        </w:rPr>
        <w:t>sunt acoperite de utilizatorii sistemului informațional prin intermediul unei plăți aprobate de Agenție</w:t>
      </w:r>
      <w:r w:rsidR="00553949" w:rsidRPr="00D032A7">
        <w:rPr>
          <w:sz w:val="24"/>
          <w:szCs w:val="24"/>
        </w:rPr>
        <w:t>. Gestionarea</w:t>
      </w:r>
      <w:r w:rsidR="00553949" w:rsidRPr="00553949">
        <w:rPr>
          <w:sz w:val="24"/>
          <w:szCs w:val="24"/>
        </w:rPr>
        <w:t xml:space="preserve"> și operaționalizarea Registrului garanțiilor de origine de către Agenția Națională pentru Reglementare în Energetică constituie o activitate nonprofit.</w:t>
      </w:r>
    </w:p>
    <w:p w14:paraId="535052AD" w14:textId="70BB50F3" w:rsidR="00A95FD6" w:rsidRDefault="00A95FD6" w:rsidP="002960AC">
      <w:pPr>
        <w:pStyle w:val="Bodytext20"/>
        <w:shd w:val="clear" w:color="auto" w:fill="auto"/>
        <w:spacing w:before="120" w:after="0" w:line="240" w:lineRule="auto"/>
        <w:ind w:firstLine="562"/>
        <w:rPr>
          <w:sz w:val="24"/>
          <w:szCs w:val="24"/>
        </w:rPr>
      </w:pPr>
      <w:r w:rsidRPr="002960AC">
        <w:rPr>
          <w:sz w:val="24"/>
          <w:szCs w:val="24"/>
        </w:rPr>
        <w:t>În acest sens, conform pct. 80 din Regulamentul nr. 402/2025</w:t>
      </w:r>
      <w:r w:rsidR="00D032A7" w:rsidRPr="002960AC">
        <w:rPr>
          <w:sz w:val="24"/>
          <w:szCs w:val="24"/>
        </w:rPr>
        <w:t>,</w:t>
      </w:r>
      <w:r w:rsidRPr="002960AC">
        <w:t xml:space="preserve"> </w:t>
      </w:r>
      <w:r w:rsidR="002960AC" w:rsidRPr="002960AC">
        <w:rPr>
          <w:sz w:val="24"/>
          <w:szCs w:val="24"/>
        </w:rPr>
        <w:t xml:space="preserve">Agenția aprobă anual </w:t>
      </w:r>
      <w:r w:rsidRPr="002960AC">
        <w:rPr>
          <w:sz w:val="24"/>
          <w:szCs w:val="24"/>
        </w:rPr>
        <w:t>o hotărâre privind cuantumul plății ce urmează a fi percepută de la solicitanții și titularii de conturi ai sistemului informațional pentru anul viitor, iar conform pct. 78 cuantumul plății se determină conform formulei:</w:t>
      </w:r>
    </w:p>
    <w:p w14:paraId="4B808812" w14:textId="77777777" w:rsidR="00A7243A" w:rsidRDefault="000F6CD0" w:rsidP="00072FFA">
      <w:pPr>
        <w:pStyle w:val="NormalWeb"/>
        <w:spacing w:before="120"/>
        <w:rPr>
          <w:lang w:val="ro-RO"/>
        </w:rPr>
      </w:pPr>
      <m:oMathPara>
        <m:oMath>
          <m:sSub>
            <m:sSubPr>
              <m:ctrlPr>
                <w:rPr>
                  <w:rFonts w:ascii="Cambria Math" w:hAnsi="Cambria Math"/>
                  <w:i/>
                  <w:lang w:val="ro-RO" w:eastAsia="ro-RO"/>
                </w:rPr>
              </m:ctrlPr>
            </m:sSubPr>
            <m:e>
              <m:r>
                <w:rPr>
                  <w:rFonts w:ascii="Cambria Math" w:hAnsi="Cambria Math"/>
                  <w:lang w:val="ro-RO" w:eastAsia="ro-RO"/>
                </w:rPr>
                <m:t>CP</m:t>
              </m:r>
            </m:e>
            <m:sub>
              <m:r>
                <w:rPr>
                  <w:rFonts w:ascii="Cambria Math" w:hAnsi="Cambria Math"/>
                  <w:lang w:val="ro-RO" w:eastAsia="ro-RO"/>
                </w:rPr>
                <m:t>n</m:t>
              </m:r>
            </m:sub>
          </m:sSub>
          <m:r>
            <w:rPr>
              <w:rFonts w:ascii="Cambria Math" w:hAnsi="Cambria Math"/>
              <w:lang w:val="ro-RO" w:eastAsia="ro-RO"/>
            </w:rPr>
            <m:t>=</m:t>
          </m:r>
          <m:f>
            <m:fPr>
              <m:ctrlPr>
                <w:rPr>
                  <w:rFonts w:ascii="Cambria Math" w:hAnsi="Cambria Math"/>
                  <w:i/>
                  <w:lang w:val="ro-RO" w:eastAsia="ro-RO"/>
                </w:rPr>
              </m:ctrlPr>
            </m:fPr>
            <m:num>
              <m:sSub>
                <m:sSubPr>
                  <m:ctrlPr>
                    <w:rPr>
                      <w:rFonts w:ascii="Cambria Math" w:hAnsi="Cambria Math"/>
                      <w:i/>
                      <w:lang w:val="ro-RO" w:eastAsia="ro-RO"/>
                    </w:rPr>
                  </m:ctrlPr>
                </m:sSubPr>
                <m:e>
                  <m:r>
                    <w:rPr>
                      <w:rFonts w:ascii="Cambria Math" w:hAnsi="Cambria Math"/>
                      <w:lang w:val="ro-RO" w:eastAsia="ro-RO"/>
                    </w:rPr>
                    <m:t>C</m:t>
                  </m:r>
                </m:e>
                <m:sub>
                  <m:r>
                    <w:rPr>
                      <w:rFonts w:ascii="Cambria Math" w:hAnsi="Cambria Math"/>
                      <w:lang w:val="ro-RO" w:eastAsia="ro-RO"/>
                    </w:rPr>
                    <m:t>n</m:t>
                  </m:r>
                </m:sub>
              </m:sSub>
            </m:num>
            <m:den>
              <m:sSub>
                <m:sSubPr>
                  <m:ctrlPr>
                    <w:rPr>
                      <w:rFonts w:ascii="Cambria Math" w:hAnsi="Cambria Math"/>
                      <w:i/>
                      <w:lang w:val="ro-RO" w:eastAsia="ro-RO"/>
                    </w:rPr>
                  </m:ctrlPr>
                </m:sSubPr>
                <m:e>
                  <m:r>
                    <w:rPr>
                      <w:rFonts w:ascii="Cambria Math" w:hAnsi="Cambria Math"/>
                      <w:lang w:val="ro-RO" w:eastAsia="ro-RO"/>
                    </w:rPr>
                    <m:t>Nr</m:t>
                  </m:r>
                </m:e>
                <m:sub>
                  <m:r>
                    <w:rPr>
                      <w:rFonts w:ascii="Cambria Math" w:hAnsi="Cambria Math"/>
                      <w:lang w:val="ro-RO" w:eastAsia="ro-RO"/>
                    </w:rPr>
                    <m:t>cont</m:t>
                  </m:r>
                </m:sub>
              </m:sSub>
              <m:r>
                <w:rPr>
                  <w:rFonts w:ascii="Cambria Math" w:hAnsi="Cambria Math"/>
                  <w:lang w:val="ro-RO" w:eastAsia="ro-RO"/>
                </w:rPr>
                <m:t xml:space="preserve">+ </m:t>
              </m:r>
              <m:sSub>
                <m:sSubPr>
                  <m:ctrlPr>
                    <w:rPr>
                      <w:rFonts w:ascii="Cambria Math" w:hAnsi="Cambria Math"/>
                      <w:i/>
                      <w:lang w:val="ro-RO" w:eastAsia="ro-RO"/>
                    </w:rPr>
                  </m:ctrlPr>
                </m:sSubPr>
                <m:e>
                  <m:r>
                    <w:rPr>
                      <w:rFonts w:ascii="Cambria Math" w:hAnsi="Cambria Math"/>
                      <w:lang w:val="ro-RO" w:eastAsia="ro-RO"/>
                    </w:rPr>
                    <m:t>Nr</m:t>
                  </m:r>
                </m:e>
                <m:sub>
                  <m:r>
                    <w:rPr>
                      <w:rFonts w:ascii="Cambria Math" w:hAnsi="Cambria Math"/>
                      <w:lang w:val="ro-RO" w:eastAsia="ro-RO"/>
                    </w:rPr>
                    <m:t>FC</m:t>
                  </m:r>
                </m:sub>
              </m:sSub>
            </m:den>
          </m:f>
        </m:oMath>
      </m:oMathPara>
    </w:p>
    <w:p w14:paraId="1CF0F07C" w14:textId="77777777" w:rsidR="00A7243A" w:rsidRPr="00A7243A" w:rsidRDefault="00A7243A" w:rsidP="00072FFA">
      <w:pPr>
        <w:spacing w:before="120"/>
        <w:rPr>
          <w:rFonts w:ascii="Times New Roman" w:hAnsi="Times New Roman" w:cs="Times New Roman"/>
        </w:rPr>
      </w:pPr>
      <w:r w:rsidRPr="00A7243A">
        <w:rPr>
          <w:rFonts w:ascii="Times New Roman" w:hAnsi="Times New Roman" w:cs="Times New Roman"/>
        </w:rPr>
        <w:t>unde:</w:t>
      </w:r>
    </w:p>
    <w:p w14:paraId="624685A2" w14:textId="77777777" w:rsidR="00A7243A" w:rsidRPr="00A7243A" w:rsidRDefault="000F6CD0" w:rsidP="00072FFA">
      <w:pPr>
        <w:ind w:firstLine="562"/>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CP</m:t>
            </m:r>
          </m:e>
          <m:sub>
            <m:r>
              <w:rPr>
                <w:rFonts w:ascii="Cambria Math" w:hAnsi="Cambria Math" w:cs="Times New Roman"/>
              </w:rPr>
              <m:t>n</m:t>
            </m:r>
          </m:sub>
        </m:sSub>
      </m:oMath>
      <w:r w:rsidR="00A7243A" w:rsidRPr="00A7243A">
        <w:rPr>
          <w:rFonts w:ascii="Times New Roman" w:hAnsi="Times New Roman" w:cs="Times New Roman"/>
        </w:rPr>
        <w:t xml:space="preserve"> – cuantumul plății aprobate pentru anul n; </w:t>
      </w:r>
    </w:p>
    <w:p w14:paraId="468187B8" w14:textId="77777777" w:rsidR="00A7243A" w:rsidRPr="00A7243A" w:rsidRDefault="000F6CD0" w:rsidP="00072FFA">
      <w:pPr>
        <w:pStyle w:val="NormalWeb"/>
        <w:ind w:firstLine="562"/>
        <w:rPr>
          <w:lang w:val="ro-RO"/>
        </w:rPr>
      </w:pPr>
      <m:oMath>
        <m:sSub>
          <m:sSubPr>
            <m:ctrlPr>
              <w:rPr>
                <w:rFonts w:ascii="Cambria Math" w:hAnsi="Cambria Math"/>
                <w:i/>
                <w:lang w:val="ro-RO" w:eastAsia="ro-RO"/>
              </w:rPr>
            </m:ctrlPr>
          </m:sSubPr>
          <m:e>
            <m:r>
              <w:rPr>
                <w:rFonts w:ascii="Cambria Math" w:hAnsi="Cambria Math"/>
                <w:lang w:val="ro-RO" w:eastAsia="ro-RO"/>
              </w:rPr>
              <m:t>C</m:t>
            </m:r>
          </m:e>
          <m:sub>
            <m:r>
              <w:rPr>
                <w:rFonts w:ascii="Cambria Math" w:hAnsi="Cambria Math"/>
                <w:lang w:val="ro-RO" w:eastAsia="ro-RO"/>
              </w:rPr>
              <m:t>n</m:t>
            </m:r>
          </m:sub>
        </m:sSub>
      </m:oMath>
      <w:r w:rsidR="00A7243A" w:rsidRPr="00A7243A">
        <w:rPr>
          <w:lang w:val="ro-RO"/>
        </w:rPr>
        <w:t xml:space="preserve"> – costurile necesare, obiective şi justificate suportate sau care vor fi suportate de Agenţie pentru anul n;</w:t>
      </w:r>
    </w:p>
    <w:p w14:paraId="72407EF3" w14:textId="77777777" w:rsidR="00A7243A" w:rsidRPr="00A7243A" w:rsidRDefault="000F6CD0" w:rsidP="00072FFA">
      <w:pPr>
        <w:pStyle w:val="NormalWeb"/>
        <w:ind w:firstLine="562"/>
      </w:pPr>
      <m:oMath>
        <m:sSub>
          <m:sSubPr>
            <m:ctrlPr>
              <w:rPr>
                <w:rFonts w:ascii="Cambria Math" w:hAnsi="Cambria Math"/>
                <w:i/>
                <w:lang w:val="ro-RO" w:eastAsia="ro-RO"/>
              </w:rPr>
            </m:ctrlPr>
          </m:sSubPr>
          <m:e>
            <m:r>
              <w:rPr>
                <w:rFonts w:ascii="Cambria Math" w:hAnsi="Cambria Math"/>
                <w:lang w:val="ro-RO" w:eastAsia="ro-RO"/>
              </w:rPr>
              <m:t>Nr</m:t>
            </m:r>
          </m:e>
          <m:sub>
            <m:r>
              <w:rPr>
                <w:rFonts w:ascii="Cambria Math" w:hAnsi="Cambria Math"/>
                <w:lang w:val="ro-RO" w:eastAsia="ro-RO"/>
              </w:rPr>
              <m:t>cont</m:t>
            </m:r>
          </m:sub>
        </m:sSub>
      </m:oMath>
      <w:r w:rsidR="00A7243A" w:rsidRPr="00A7243A">
        <w:rPr>
          <w:lang w:val="ro-RO"/>
        </w:rPr>
        <w:t xml:space="preserve"> – numărul titularilor de conturi prognozate pentru anul n</w:t>
      </w:r>
      <w:r w:rsidR="00A7243A" w:rsidRPr="00A7243A">
        <w:t>;</w:t>
      </w:r>
    </w:p>
    <w:p w14:paraId="2F5319B4" w14:textId="48894575" w:rsidR="00A7243A" w:rsidRDefault="000F6CD0" w:rsidP="00072FFA">
      <w:pPr>
        <w:pStyle w:val="NormalWeb"/>
        <w:ind w:firstLine="562"/>
      </w:pPr>
      <m:oMath>
        <m:sSub>
          <m:sSubPr>
            <m:ctrlPr>
              <w:rPr>
                <w:rFonts w:ascii="Cambria Math" w:hAnsi="Cambria Math"/>
                <w:i/>
                <w:lang w:val="ro-RO" w:eastAsia="ro-RO"/>
              </w:rPr>
            </m:ctrlPr>
          </m:sSubPr>
          <m:e>
            <m:r>
              <w:rPr>
                <w:rFonts w:ascii="Cambria Math" w:hAnsi="Cambria Math"/>
                <w:lang w:val="ro-RO" w:eastAsia="ro-RO"/>
              </w:rPr>
              <m:t>Nr</m:t>
            </m:r>
          </m:e>
          <m:sub>
            <m:r>
              <w:rPr>
                <w:rFonts w:ascii="Cambria Math" w:hAnsi="Cambria Math"/>
                <w:lang w:val="ro-RO" w:eastAsia="ro-RO"/>
              </w:rPr>
              <m:t>FC</m:t>
            </m:r>
          </m:sub>
        </m:sSub>
      </m:oMath>
      <w:r w:rsidR="00A7243A" w:rsidRPr="00A7243A">
        <w:t xml:space="preserve"> – </w:t>
      </w:r>
      <w:r w:rsidR="00A7243A" w:rsidRPr="00A7243A">
        <w:rPr>
          <w:lang w:val="ro-RO"/>
        </w:rPr>
        <w:t>numărul producătorilor eligibili mici și producătorilor de energie electrică, care beneficiază de schema de sprijin stabilită până la intrarea în vigoare a Legii privind promovarea utilizării energiei din surse regenerabile care au contracte și v</w:t>
      </w:r>
      <w:r w:rsidR="00D82186">
        <w:rPr>
          <w:lang w:val="ro-RO"/>
        </w:rPr>
        <w:t>â</w:t>
      </w:r>
      <w:r w:rsidR="00A7243A" w:rsidRPr="00A7243A">
        <w:rPr>
          <w:lang w:val="ro-RO"/>
        </w:rPr>
        <w:t>nd energia electrică furnizorului central de energie electrică</w:t>
      </w:r>
      <w:r w:rsidR="00D82186">
        <w:t>.</w:t>
      </w:r>
    </w:p>
    <w:p w14:paraId="55DBF3EE" w14:textId="29AE37F4" w:rsidR="00141CC4" w:rsidRPr="00072FFA" w:rsidRDefault="00141CC4" w:rsidP="00072FFA">
      <w:pPr>
        <w:pStyle w:val="NormalWeb"/>
        <w:spacing w:before="120"/>
        <w:rPr>
          <w:lang w:val="ro-RO"/>
        </w:rPr>
      </w:pPr>
      <w:r w:rsidRPr="00072FFA">
        <w:rPr>
          <w:lang w:val="ro-RO"/>
        </w:rPr>
        <w:t>Subliniem faptul că în conformitate cu pct. 82 din Regulamentul nr. 402/2025, în cazul în care, plata percepută de la titularii de conturi ai sistemului informațional, nu acoperă costurile necesare, obiective şi justificate suportate de Agenţie, Agenția este în drept să aprobe o hotărâre privind perceperea unei plăți suplimentare de la titularii de conturi ai sistemului informațional.</w:t>
      </w:r>
    </w:p>
    <w:p w14:paraId="553A78BD" w14:textId="3D999216" w:rsidR="00141CC4" w:rsidRPr="00072FFA" w:rsidRDefault="00141CC4" w:rsidP="00072FFA">
      <w:pPr>
        <w:pStyle w:val="NormalWeb"/>
        <w:spacing w:before="120"/>
        <w:rPr>
          <w:lang w:val="ro-RO"/>
        </w:rPr>
      </w:pPr>
      <w:r w:rsidRPr="00072FFA">
        <w:rPr>
          <w:lang w:val="ro-RO"/>
        </w:rPr>
        <w:t>Totodată, conform pct. 83 din Regulamentul nr. 402/2025, în cazul în care, suma percepută de la titularii de conturi ai sistemului informațional, depășește costurile necesare, obiective şi justificate suportate de Agenţie, surplusul bănesc este utilizat pentru a acoperi costurile necesare, obiective şi justificate ce urmează a fi suportate de Agenție în anul următor.</w:t>
      </w:r>
    </w:p>
    <w:p w14:paraId="220DD7BF" w14:textId="10D47D16" w:rsidR="00181C15" w:rsidRDefault="00141CC4" w:rsidP="00072FFA">
      <w:pPr>
        <w:pStyle w:val="Bodytext20"/>
        <w:spacing w:before="120" w:after="0" w:line="240" w:lineRule="auto"/>
        <w:ind w:firstLine="562"/>
        <w:rPr>
          <w:sz w:val="24"/>
          <w:szCs w:val="24"/>
        </w:rPr>
      </w:pPr>
      <w:r>
        <w:rPr>
          <w:sz w:val="24"/>
          <w:szCs w:val="24"/>
        </w:rPr>
        <w:lastRenderedPageBreak/>
        <w:t>Î</w:t>
      </w:r>
      <w:r w:rsidR="00181C15" w:rsidRPr="00181C15">
        <w:rPr>
          <w:sz w:val="24"/>
          <w:szCs w:val="24"/>
        </w:rPr>
        <w:t xml:space="preserve">n scopul instituirii unui registru electronic pentru emiterea, transferul, utilizarea și </w:t>
      </w:r>
      <w:r w:rsidR="00181C15">
        <w:rPr>
          <w:sz w:val="24"/>
          <w:szCs w:val="24"/>
        </w:rPr>
        <w:t>anularea garanțiilor de origine</w:t>
      </w:r>
      <w:r w:rsidR="00181C15" w:rsidRPr="00181C15">
        <w:rPr>
          <w:sz w:val="24"/>
          <w:szCs w:val="24"/>
        </w:rPr>
        <w:t xml:space="preserve"> Agenția, la data de 19.09.2025,</w:t>
      </w:r>
      <w:r w:rsidR="00661BFD">
        <w:rPr>
          <w:sz w:val="24"/>
          <w:szCs w:val="24"/>
        </w:rPr>
        <w:t xml:space="preserve"> în conformitate cu art. II, alin. (6) din Legea nr. 229/2024</w:t>
      </w:r>
      <w:r w:rsidR="00072FFA" w:rsidRPr="00072FFA">
        <w:rPr>
          <w:sz w:val="24"/>
          <w:szCs w:val="24"/>
        </w:rPr>
        <w:t xml:space="preserve"> pentru modificarea Legii nr. 10/2016</w:t>
      </w:r>
      <w:r w:rsidR="00072FFA">
        <w:rPr>
          <w:sz w:val="24"/>
          <w:szCs w:val="24"/>
        </w:rPr>
        <w:t xml:space="preserve"> </w:t>
      </w:r>
      <w:r w:rsidR="00072FFA" w:rsidRPr="00072FFA">
        <w:rPr>
          <w:sz w:val="24"/>
          <w:szCs w:val="24"/>
        </w:rPr>
        <w:t>privind promovarea utilizării energiei</w:t>
      </w:r>
      <w:r w:rsidR="00072FFA">
        <w:rPr>
          <w:sz w:val="24"/>
          <w:szCs w:val="24"/>
        </w:rPr>
        <w:t xml:space="preserve"> </w:t>
      </w:r>
      <w:r w:rsidR="00072FFA" w:rsidRPr="00072FFA">
        <w:rPr>
          <w:sz w:val="24"/>
          <w:szCs w:val="24"/>
        </w:rPr>
        <w:t>din surse regenerabile</w:t>
      </w:r>
      <w:r w:rsidR="00661BFD">
        <w:rPr>
          <w:sz w:val="24"/>
          <w:szCs w:val="24"/>
        </w:rPr>
        <w:t>,</w:t>
      </w:r>
      <w:r w:rsidR="00181C15" w:rsidRPr="00181C15">
        <w:rPr>
          <w:sz w:val="24"/>
          <w:szCs w:val="24"/>
        </w:rPr>
        <w:t xml:space="preserve"> a semnat contractul privind operaționalizarea sistemului informațional/registrului garanțiilor de origine cu furnizorul selectat de către Secretariatul Comunității Energetice</w:t>
      </w:r>
      <w:r w:rsidR="00181C15">
        <w:rPr>
          <w:sz w:val="24"/>
          <w:szCs w:val="24"/>
        </w:rPr>
        <w:t xml:space="preserve"> – Grexel Systems ltd.</w:t>
      </w:r>
      <w:r w:rsidR="00181C15" w:rsidRPr="00181C15">
        <w:rPr>
          <w:sz w:val="24"/>
          <w:szCs w:val="24"/>
        </w:rPr>
        <w:t xml:space="preserve"> </w:t>
      </w:r>
    </w:p>
    <w:p w14:paraId="081A8D90" w14:textId="199EFBDF" w:rsidR="00181C15" w:rsidRDefault="00181C15" w:rsidP="00072FFA">
      <w:pPr>
        <w:pStyle w:val="Bodytext20"/>
        <w:spacing w:before="120" w:after="0" w:line="240" w:lineRule="auto"/>
        <w:ind w:firstLine="562"/>
        <w:rPr>
          <w:sz w:val="24"/>
          <w:szCs w:val="24"/>
        </w:rPr>
      </w:pPr>
      <w:r>
        <w:rPr>
          <w:sz w:val="24"/>
          <w:szCs w:val="24"/>
        </w:rPr>
        <w:t>Astfel, contractul</w:t>
      </w:r>
      <w:r w:rsidR="00661BFD">
        <w:rPr>
          <w:sz w:val="24"/>
          <w:szCs w:val="24"/>
        </w:rPr>
        <w:t xml:space="preserve"> </w:t>
      </w:r>
      <w:r w:rsidR="00072FFA">
        <w:rPr>
          <w:sz w:val="24"/>
          <w:szCs w:val="24"/>
        </w:rPr>
        <w:t>semnat la data de</w:t>
      </w:r>
      <w:r w:rsidR="00661BFD">
        <w:rPr>
          <w:sz w:val="24"/>
          <w:szCs w:val="24"/>
        </w:rPr>
        <w:t xml:space="preserve"> </w:t>
      </w:r>
      <w:r w:rsidR="00E86E7D">
        <w:rPr>
          <w:sz w:val="24"/>
          <w:szCs w:val="24"/>
        </w:rPr>
        <w:t>19.09.2025</w:t>
      </w:r>
      <w:r>
        <w:rPr>
          <w:sz w:val="24"/>
          <w:szCs w:val="24"/>
        </w:rPr>
        <w:t xml:space="preserve"> prevede o </w:t>
      </w:r>
      <w:r w:rsidR="00661BFD">
        <w:rPr>
          <w:sz w:val="24"/>
          <w:szCs w:val="24"/>
        </w:rPr>
        <w:t>t</w:t>
      </w:r>
      <w:r w:rsidR="00661BFD" w:rsidRPr="00181C15">
        <w:rPr>
          <w:sz w:val="24"/>
          <w:szCs w:val="24"/>
        </w:rPr>
        <w:t>ax</w:t>
      </w:r>
      <w:r w:rsidR="00661BFD">
        <w:rPr>
          <w:sz w:val="24"/>
          <w:szCs w:val="24"/>
        </w:rPr>
        <w:t xml:space="preserve">ă </w:t>
      </w:r>
      <w:r w:rsidR="00881B3E">
        <w:rPr>
          <w:sz w:val="24"/>
          <w:szCs w:val="24"/>
        </w:rPr>
        <w:t>anuală</w:t>
      </w:r>
      <w:r w:rsidR="00661BFD" w:rsidRPr="00181C15">
        <w:rPr>
          <w:sz w:val="24"/>
          <w:szCs w:val="24"/>
        </w:rPr>
        <w:t xml:space="preserve"> </w:t>
      </w:r>
      <w:r w:rsidR="00072FFA">
        <w:rPr>
          <w:sz w:val="24"/>
          <w:szCs w:val="24"/>
        </w:rPr>
        <w:t xml:space="preserve">pentru serviciul de bază, </w:t>
      </w:r>
      <w:r w:rsidRPr="00181C15">
        <w:rPr>
          <w:sz w:val="24"/>
          <w:szCs w:val="24"/>
        </w:rPr>
        <w:t>începând de la inițializarea</w:t>
      </w:r>
      <w:r>
        <w:rPr>
          <w:sz w:val="24"/>
          <w:szCs w:val="24"/>
        </w:rPr>
        <w:t xml:space="preserve"> serviciului</w:t>
      </w:r>
      <w:r w:rsidR="005D6365">
        <w:rPr>
          <w:sz w:val="24"/>
          <w:szCs w:val="24"/>
        </w:rPr>
        <w:t xml:space="preserve"> și </w:t>
      </w:r>
      <w:r>
        <w:rPr>
          <w:sz w:val="24"/>
          <w:szCs w:val="24"/>
        </w:rPr>
        <w:t xml:space="preserve">o </w:t>
      </w:r>
      <w:r w:rsidR="00661BFD">
        <w:rPr>
          <w:sz w:val="24"/>
          <w:szCs w:val="24"/>
        </w:rPr>
        <w:t>taxă</w:t>
      </w:r>
      <w:r w:rsidR="005D6365">
        <w:rPr>
          <w:sz w:val="24"/>
          <w:szCs w:val="24"/>
        </w:rPr>
        <w:t xml:space="preserve"> </w:t>
      </w:r>
      <w:r w:rsidR="00881B3E">
        <w:rPr>
          <w:sz w:val="24"/>
          <w:szCs w:val="24"/>
        </w:rPr>
        <w:t xml:space="preserve">lunară </w:t>
      </w:r>
      <w:r w:rsidR="005D6365">
        <w:rPr>
          <w:sz w:val="24"/>
          <w:szCs w:val="24"/>
        </w:rPr>
        <w:t>pentru</w:t>
      </w:r>
      <w:r w:rsidR="00661BFD">
        <w:rPr>
          <w:sz w:val="24"/>
          <w:szCs w:val="24"/>
        </w:rPr>
        <w:t xml:space="preserve"> </w:t>
      </w:r>
      <w:r>
        <w:rPr>
          <w:sz w:val="24"/>
          <w:szCs w:val="24"/>
        </w:rPr>
        <w:t>a</w:t>
      </w:r>
      <w:r w:rsidRPr="00181C15">
        <w:rPr>
          <w:sz w:val="24"/>
          <w:szCs w:val="24"/>
        </w:rPr>
        <w:t>lte activități suplimentare, cum ar fi solicitările de modificare, alte modificări minore, raportări suplimentare, suport oferit direct deținătorilor de cont</w:t>
      </w:r>
      <w:r>
        <w:rPr>
          <w:sz w:val="24"/>
          <w:szCs w:val="24"/>
        </w:rPr>
        <w:t xml:space="preserve">. </w:t>
      </w:r>
      <w:r w:rsidR="001A6635">
        <w:rPr>
          <w:sz w:val="24"/>
          <w:szCs w:val="24"/>
        </w:rPr>
        <w:t xml:space="preserve">De menționat, că plata pentru serviciile suplimentare este efectuată doar la necesitatea unor ore </w:t>
      </w:r>
      <w:r w:rsidR="00835F64">
        <w:rPr>
          <w:sz w:val="24"/>
          <w:szCs w:val="24"/>
        </w:rPr>
        <w:t xml:space="preserve">de lucru </w:t>
      </w:r>
      <w:r w:rsidR="001A6635">
        <w:rPr>
          <w:sz w:val="24"/>
          <w:szCs w:val="24"/>
        </w:rPr>
        <w:t>suplimentare din partea Grexel Systems ltd., iar în cazul în care n</w:t>
      </w:r>
      <w:r w:rsidR="00881B3E">
        <w:rPr>
          <w:sz w:val="24"/>
          <w:szCs w:val="24"/>
        </w:rPr>
        <w:t>u se vor realiza</w:t>
      </w:r>
      <w:r w:rsidR="001A6635">
        <w:rPr>
          <w:sz w:val="24"/>
          <w:szCs w:val="24"/>
        </w:rPr>
        <w:t xml:space="preserve"> lucrări suplimentare, </w:t>
      </w:r>
      <w:r w:rsidR="00881B3E">
        <w:rPr>
          <w:sz w:val="24"/>
          <w:szCs w:val="24"/>
        </w:rPr>
        <w:t>această taxă suplimentară</w:t>
      </w:r>
      <w:r w:rsidR="005D6365">
        <w:rPr>
          <w:sz w:val="24"/>
          <w:szCs w:val="24"/>
        </w:rPr>
        <w:t xml:space="preserve"> inclusă în costul total</w:t>
      </w:r>
      <w:r w:rsidR="001A6635">
        <w:rPr>
          <w:sz w:val="24"/>
          <w:szCs w:val="24"/>
        </w:rPr>
        <w:t xml:space="preserve"> sau partea restantă după utilizarea unei părți din ea va fi utilizat</w:t>
      </w:r>
      <w:r w:rsidR="00835F64">
        <w:rPr>
          <w:sz w:val="24"/>
          <w:szCs w:val="24"/>
        </w:rPr>
        <w:t>ă</w:t>
      </w:r>
      <w:r w:rsidR="001A6635">
        <w:rPr>
          <w:sz w:val="24"/>
          <w:szCs w:val="24"/>
        </w:rPr>
        <w:t xml:space="preserve"> </w:t>
      </w:r>
      <w:r w:rsidR="001A6635" w:rsidRPr="001A6635">
        <w:rPr>
          <w:sz w:val="24"/>
          <w:szCs w:val="24"/>
        </w:rPr>
        <w:t>pentru a acoperi costurile necesare, obiective şi justificate ce urmează a fi suportate de Agenție în anul următor</w:t>
      </w:r>
      <w:r w:rsidR="00205A5D">
        <w:rPr>
          <w:sz w:val="24"/>
          <w:szCs w:val="24"/>
        </w:rPr>
        <w:t>, conform pct.</w:t>
      </w:r>
      <w:r w:rsidR="00141CC4">
        <w:rPr>
          <w:sz w:val="24"/>
          <w:szCs w:val="24"/>
        </w:rPr>
        <w:t xml:space="preserve"> </w:t>
      </w:r>
      <w:r w:rsidR="0019421B">
        <w:rPr>
          <w:sz w:val="24"/>
          <w:szCs w:val="24"/>
        </w:rPr>
        <w:t>83 din R</w:t>
      </w:r>
      <w:r w:rsidR="00205A5D">
        <w:rPr>
          <w:sz w:val="24"/>
          <w:szCs w:val="24"/>
        </w:rPr>
        <w:t>egulamentul nr. 402/2025</w:t>
      </w:r>
      <w:r w:rsidR="001A6635">
        <w:rPr>
          <w:sz w:val="24"/>
          <w:szCs w:val="24"/>
        </w:rPr>
        <w:t>.</w:t>
      </w:r>
      <w:r w:rsidR="00CE7130">
        <w:rPr>
          <w:sz w:val="24"/>
          <w:szCs w:val="24"/>
        </w:rPr>
        <w:t xml:space="preserve"> </w:t>
      </w:r>
    </w:p>
    <w:p w14:paraId="2E599822" w14:textId="5D358BC5" w:rsidR="00EF1109" w:rsidRDefault="00EF1109" w:rsidP="00EF1109">
      <w:pPr>
        <w:pStyle w:val="Bodytext20"/>
        <w:spacing w:before="120" w:after="0" w:line="240" w:lineRule="auto"/>
        <w:ind w:firstLine="562"/>
        <w:rPr>
          <w:sz w:val="24"/>
          <w:szCs w:val="24"/>
        </w:rPr>
      </w:pPr>
      <w:r>
        <w:rPr>
          <w:sz w:val="24"/>
          <w:szCs w:val="24"/>
        </w:rPr>
        <w:t xml:space="preserve">Totodată, </w:t>
      </w:r>
      <w:r w:rsidR="00881B3E">
        <w:rPr>
          <w:sz w:val="24"/>
          <w:szCs w:val="24"/>
        </w:rPr>
        <w:t>în scopul realizării plății către</w:t>
      </w:r>
      <w:r w:rsidR="00881B3E" w:rsidRPr="00881B3E">
        <w:rPr>
          <w:sz w:val="24"/>
          <w:szCs w:val="24"/>
        </w:rPr>
        <w:t xml:space="preserve"> </w:t>
      </w:r>
      <w:r w:rsidR="00881B3E">
        <w:rPr>
          <w:sz w:val="24"/>
          <w:szCs w:val="24"/>
        </w:rPr>
        <w:t xml:space="preserve">Grexel Systems ltd. </w:t>
      </w:r>
      <w:r>
        <w:rPr>
          <w:sz w:val="24"/>
          <w:szCs w:val="24"/>
        </w:rPr>
        <w:t xml:space="preserve">suplimentar </w:t>
      </w:r>
      <w:r w:rsidR="00881B3E">
        <w:rPr>
          <w:sz w:val="24"/>
          <w:szCs w:val="24"/>
        </w:rPr>
        <w:t>sunt necesare costuri</w:t>
      </w:r>
      <w:r w:rsidRPr="003A674C">
        <w:rPr>
          <w:sz w:val="24"/>
          <w:szCs w:val="24"/>
        </w:rPr>
        <w:t xml:space="preserve"> </w:t>
      </w:r>
      <w:r>
        <w:rPr>
          <w:sz w:val="24"/>
          <w:szCs w:val="24"/>
        </w:rPr>
        <w:t>cu privire la transferurile internaționale, cheltuieli</w:t>
      </w:r>
      <w:r w:rsidRPr="000875DC">
        <w:rPr>
          <w:sz w:val="24"/>
          <w:szCs w:val="24"/>
        </w:rPr>
        <w:t xml:space="preserve"> pentru operațiunile bancare, cursul de convertire internațional (Forex), comisioanele</w:t>
      </w:r>
      <w:r>
        <w:rPr>
          <w:sz w:val="24"/>
          <w:szCs w:val="24"/>
        </w:rPr>
        <w:t xml:space="preserve"> </w:t>
      </w:r>
      <w:r w:rsidR="00EA1E96">
        <w:rPr>
          <w:sz w:val="24"/>
          <w:szCs w:val="24"/>
        </w:rPr>
        <w:t>aferente acestor tranzacții (etc.)</w:t>
      </w:r>
      <w:r>
        <w:rPr>
          <w:sz w:val="24"/>
          <w:szCs w:val="24"/>
        </w:rPr>
        <w:t>. De menționat că aceste comisioane variază în funcție de condițiile băncii comerciale locale cât și celei internaționale. Astfel</w:t>
      </w:r>
      <w:r w:rsidR="00836788">
        <w:rPr>
          <w:sz w:val="24"/>
          <w:szCs w:val="24"/>
        </w:rPr>
        <w:t>,</w:t>
      </w:r>
      <w:r>
        <w:rPr>
          <w:sz w:val="24"/>
          <w:szCs w:val="24"/>
        </w:rPr>
        <w:t xml:space="preserve"> p</w:t>
      </w:r>
      <w:r w:rsidRPr="000875DC">
        <w:rPr>
          <w:sz w:val="24"/>
          <w:szCs w:val="24"/>
        </w:rPr>
        <w:t xml:space="preserve">entru utilizarea serviciului SWIFT, banca percepe comisioane în conformitate cu Registrul tarifelor şi comisioanelor aplicate </w:t>
      </w:r>
      <w:r w:rsidR="004C41CD">
        <w:rPr>
          <w:sz w:val="24"/>
          <w:szCs w:val="24"/>
        </w:rPr>
        <w:t>la serviciile prestate</w:t>
      </w:r>
      <w:r>
        <w:rPr>
          <w:sz w:val="24"/>
          <w:szCs w:val="24"/>
        </w:rPr>
        <w:t xml:space="preserve">. </w:t>
      </w:r>
    </w:p>
    <w:p w14:paraId="7377674C" w14:textId="55AE5DD8" w:rsidR="008332B9" w:rsidRDefault="008332B9" w:rsidP="008332B9">
      <w:pPr>
        <w:pStyle w:val="Bodytext20"/>
        <w:spacing w:before="120" w:after="0" w:line="240" w:lineRule="auto"/>
        <w:ind w:firstLine="562"/>
        <w:rPr>
          <w:sz w:val="24"/>
          <w:szCs w:val="24"/>
        </w:rPr>
      </w:pPr>
      <w:r>
        <w:rPr>
          <w:sz w:val="24"/>
          <w:szCs w:val="24"/>
        </w:rPr>
        <w:t>În sensul celor expuse, costul total</w:t>
      </w:r>
      <w:r w:rsidRPr="000F49BF">
        <w:rPr>
          <w:sz w:val="24"/>
          <w:szCs w:val="24"/>
        </w:rPr>
        <w:t xml:space="preserve"> </w:t>
      </w:r>
      <w:r w:rsidR="002546A2">
        <w:rPr>
          <w:sz w:val="24"/>
          <w:szCs w:val="24"/>
        </w:rPr>
        <w:t xml:space="preserve">ce urmează a fi </w:t>
      </w:r>
      <w:r>
        <w:rPr>
          <w:sz w:val="24"/>
          <w:szCs w:val="24"/>
        </w:rPr>
        <w:t>suportat de Agenție, pentru anul 2026,</w:t>
      </w:r>
      <w:r w:rsidRPr="000F49BF">
        <w:rPr>
          <w:sz w:val="24"/>
          <w:szCs w:val="24"/>
        </w:rPr>
        <w:t xml:space="preserve"> în vederea operaționalizării Regi</w:t>
      </w:r>
      <w:r>
        <w:rPr>
          <w:sz w:val="24"/>
          <w:szCs w:val="24"/>
        </w:rPr>
        <w:t xml:space="preserve">strului garanțiilor de origine ce urmează a fi </w:t>
      </w:r>
      <w:r w:rsidRPr="000F49BF">
        <w:rPr>
          <w:sz w:val="24"/>
          <w:szCs w:val="24"/>
        </w:rPr>
        <w:t>acoperite de utilizatorii siste</w:t>
      </w:r>
      <w:r>
        <w:rPr>
          <w:sz w:val="24"/>
          <w:szCs w:val="24"/>
        </w:rPr>
        <w:t>mului informațional cuprinde costurile privind taxa anuală pentru operarea sistemului informațional, taxa anuală pentru servicii suplimentare și costurile legate de transferuri internaționale, operațiunile</w:t>
      </w:r>
      <w:r w:rsidRPr="000875DC">
        <w:rPr>
          <w:sz w:val="24"/>
          <w:szCs w:val="24"/>
        </w:rPr>
        <w:t xml:space="preserve"> bancare, cursul de convertire internațional (Forex)</w:t>
      </w:r>
      <w:r>
        <w:rPr>
          <w:sz w:val="24"/>
          <w:szCs w:val="24"/>
        </w:rPr>
        <w:t xml:space="preserve">, </w:t>
      </w:r>
      <w:r w:rsidRPr="00C27867">
        <w:rPr>
          <w:sz w:val="24"/>
          <w:szCs w:val="24"/>
        </w:rPr>
        <w:t>comisioanele aferente acestor tranzacții (etc.)</w:t>
      </w:r>
      <w:r>
        <w:rPr>
          <w:sz w:val="24"/>
          <w:szCs w:val="24"/>
        </w:rPr>
        <w:t>, care în total reprezintă o valoare de 683 990 lei.</w:t>
      </w:r>
    </w:p>
    <w:p w14:paraId="7DB57240" w14:textId="484CB63E" w:rsidR="00205A5D" w:rsidRDefault="00205A5D" w:rsidP="00072FFA">
      <w:pPr>
        <w:pStyle w:val="Bodytext20"/>
        <w:spacing w:before="120" w:after="0" w:line="240" w:lineRule="auto"/>
        <w:ind w:firstLine="562"/>
        <w:rPr>
          <w:sz w:val="24"/>
          <w:szCs w:val="24"/>
        </w:rPr>
      </w:pPr>
      <w:r>
        <w:rPr>
          <w:sz w:val="24"/>
          <w:szCs w:val="24"/>
        </w:rPr>
        <w:t>Conform pct. 35 din Regulamentul nr. 402/2025</w:t>
      </w:r>
      <w:r w:rsidR="00835F64">
        <w:rPr>
          <w:sz w:val="24"/>
          <w:szCs w:val="24"/>
        </w:rPr>
        <w:t>,</w:t>
      </w:r>
      <w:r w:rsidRPr="00205A5D">
        <w:rPr>
          <w:sz w:val="24"/>
          <w:szCs w:val="24"/>
        </w:rPr>
        <w:t xml:space="preserve"> Agenția emite garanțiile de origine titularului de cont, în format electronic, prin inter</w:t>
      </w:r>
      <w:r w:rsidR="00D750CD">
        <w:rPr>
          <w:sz w:val="24"/>
          <w:szCs w:val="24"/>
        </w:rPr>
        <w:t>mediul sistemului informațional</w:t>
      </w:r>
      <w:r w:rsidR="0092645A">
        <w:rPr>
          <w:sz w:val="24"/>
          <w:szCs w:val="24"/>
        </w:rPr>
        <w:t xml:space="preserve">, titular de cont fiind </w:t>
      </w:r>
      <w:r w:rsidR="0092645A" w:rsidRPr="0092645A">
        <w:rPr>
          <w:sz w:val="24"/>
          <w:szCs w:val="24"/>
        </w:rPr>
        <w:t>solicitant</w:t>
      </w:r>
      <w:r w:rsidR="0092645A">
        <w:rPr>
          <w:sz w:val="24"/>
          <w:szCs w:val="24"/>
        </w:rPr>
        <w:t>ul</w:t>
      </w:r>
      <w:r w:rsidR="0092645A" w:rsidRPr="0092645A">
        <w:rPr>
          <w:sz w:val="24"/>
          <w:szCs w:val="24"/>
        </w:rPr>
        <w:t xml:space="preserve"> al cărei cerere de deschidere a unui cont în Registrul </w:t>
      </w:r>
      <w:r w:rsidR="00EA1E96" w:rsidRPr="0092645A">
        <w:rPr>
          <w:sz w:val="24"/>
          <w:szCs w:val="24"/>
        </w:rPr>
        <w:t>garanțiilor</w:t>
      </w:r>
      <w:r w:rsidR="0092645A" w:rsidRPr="0092645A">
        <w:rPr>
          <w:sz w:val="24"/>
          <w:szCs w:val="24"/>
        </w:rPr>
        <w:t xml:space="preserve"> de origine a fost aprobată</w:t>
      </w:r>
      <w:r w:rsidR="0092645A">
        <w:rPr>
          <w:sz w:val="24"/>
          <w:szCs w:val="24"/>
        </w:rPr>
        <w:t>.</w:t>
      </w:r>
    </w:p>
    <w:p w14:paraId="4D729826" w14:textId="77777777" w:rsidR="00E40E32" w:rsidRDefault="0092645A" w:rsidP="00072FFA">
      <w:pPr>
        <w:pStyle w:val="Bodytext20"/>
        <w:spacing w:before="120" w:after="0" w:line="240" w:lineRule="auto"/>
        <w:ind w:firstLine="562"/>
        <w:rPr>
          <w:sz w:val="24"/>
          <w:szCs w:val="24"/>
        </w:rPr>
      </w:pPr>
      <w:r>
        <w:rPr>
          <w:sz w:val="24"/>
          <w:szCs w:val="24"/>
        </w:rPr>
        <w:t>Astfel, c</w:t>
      </w:r>
      <w:r w:rsidR="00205A5D">
        <w:rPr>
          <w:sz w:val="24"/>
          <w:szCs w:val="24"/>
        </w:rPr>
        <w:t>onform pct. 11 din Regulamentul nr. 402/2025</w:t>
      </w:r>
      <w:r w:rsidR="00205A5D" w:rsidRPr="00205A5D">
        <w:rPr>
          <w:sz w:val="24"/>
          <w:szCs w:val="24"/>
        </w:rPr>
        <w:t xml:space="preserve"> </w:t>
      </w:r>
      <w:r w:rsidR="00205A5D">
        <w:rPr>
          <w:sz w:val="24"/>
          <w:szCs w:val="24"/>
        </w:rPr>
        <w:t>u</w:t>
      </w:r>
      <w:r w:rsidR="00205A5D" w:rsidRPr="00205A5D">
        <w:rPr>
          <w:sz w:val="24"/>
          <w:szCs w:val="24"/>
        </w:rPr>
        <w:t xml:space="preserve">n cont în </w:t>
      </w:r>
      <w:r w:rsidR="00205A5D">
        <w:rPr>
          <w:sz w:val="24"/>
          <w:szCs w:val="24"/>
        </w:rPr>
        <w:t>R</w:t>
      </w:r>
      <w:r w:rsidR="00205A5D" w:rsidRPr="00205A5D">
        <w:rPr>
          <w:sz w:val="24"/>
          <w:szCs w:val="24"/>
        </w:rPr>
        <w:t xml:space="preserve">egistru se deschide în baza unei cereri, modelul cărei este prevăzut în Anexă, în funcție de tipul solicitantului </w:t>
      </w:r>
      <w:r>
        <w:rPr>
          <w:sz w:val="24"/>
          <w:szCs w:val="24"/>
        </w:rPr>
        <w:t xml:space="preserve">(producător, furnizor, consumator sau alți participanți la piață) </w:t>
      </w:r>
      <w:r w:rsidR="00205A5D" w:rsidRPr="00205A5D">
        <w:rPr>
          <w:sz w:val="24"/>
          <w:szCs w:val="24"/>
        </w:rPr>
        <w:t>și cu condiția achitării cuantumului plății aprobate de Agenție conform pct.</w:t>
      </w:r>
      <w:r w:rsidR="00141CC4">
        <w:rPr>
          <w:sz w:val="24"/>
          <w:szCs w:val="24"/>
        </w:rPr>
        <w:t xml:space="preserve"> </w:t>
      </w:r>
      <w:r w:rsidR="00205A5D" w:rsidRPr="00205A5D">
        <w:rPr>
          <w:sz w:val="24"/>
          <w:szCs w:val="24"/>
        </w:rPr>
        <w:t>80.</w:t>
      </w:r>
      <w:r w:rsidR="00205A5D">
        <w:rPr>
          <w:sz w:val="24"/>
          <w:szCs w:val="24"/>
        </w:rPr>
        <w:t xml:space="preserve"> De asemenea, pct. 12 prevede că f</w:t>
      </w:r>
      <w:r w:rsidR="00205A5D" w:rsidRPr="00205A5D">
        <w:rPr>
          <w:sz w:val="24"/>
          <w:szCs w:val="24"/>
        </w:rPr>
        <w:t>urnizorii care furnizează energie electrică consumatorilor și furnizorul central de energie electrică depun obligatoriu cerere pentru deschiderea unui cont în Registru</w:t>
      </w:r>
      <w:r w:rsidR="00205A5D">
        <w:rPr>
          <w:sz w:val="24"/>
          <w:szCs w:val="24"/>
        </w:rPr>
        <w:t xml:space="preserve">. </w:t>
      </w:r>
    </w:p>
    <w:p w14:paraId="18F19DCC" w14:textId="77777777" w:rsidR="00835F64" w:rsidRDefault="00205A5D" w:rsidP="00072FFA">
      <w:pPr>
        <w:pStyle w:val="Bodytext20"/>
        <w:spacing w:before="120" w:after="0" w:line="240" w:lineRule="auto"/>
        <w:ind w:firstLine="562"/>
        <w:rPr>
          <w:sz w:val="24"/>
          <w:szCs w:val="24"/>
        </w:rPr>
      </w:pPr>
      <w:r>
        <w:rPr>
          <w:sz w:val="24"/>
          <w:szCs w:val="24"/>
        </w:rPr>
        <w:t>În același context, conform pct. 64</w:t>
      </w:r>
      <w:r w:rsidR="00835F64">
        <w:rPr>
          <w:sz w:val="24"/>
          <w:szCs w:val="24"/>
        </w:rPr>
        <w:t xml:space="preserve"> din Regulamentul nr. 402/2025</w:t>
      </w:r>
      <w:r>
        <w:rPr>
          <w:sz w:val="24"/>
          <w:szCs w:val="24"/>
        </w:rPr>
        <w:t xml:space="preserve"> f</w:t>
      </w:r>
      <w:r w:rsidRPr="00205A5D">
        <w:rPr>
          <w:sz w:val="24"/>
          <w:szCs w:val="24"/>
        </w:rPr>
        <w:t xml:space="preserve">urnizorul central de energie electrică este titularul unui cont prin care gestionează garanțiile de origine emise </w:t>
      </w:r>
      <w:r>
        <w:rPr>
          <w:sz w:val="24"/>
          <w:szCs w:val="24"/>
        </w:rPr>
        <w:t>pentru producătorii</w:t>
      </w:r>
      <w:r w:rsidRPr="00205A5D">
        <w:rPr>
          <w:sz w:val="24"/>
          <w:szCs w:val="24"/>
        </w:rPr>
        <w:t xml:space="preserve"> eligibil</w:t>
      </w:r>
      <w:r>
        <w:rPr>
          <w:sz w:val="24"/>
          <w:szCs w:val="24"/>
        </w:rPr>
        <w:t>i</w:t>
      </w:r>
      <w:r w:rsidRPr="00205A5D">
        <w:rPr>
          <w:sz w:val="24"/>
          <w:szCs w:val="24"/>
        </w:rPr>
        <w:t xml:space="preserve"> mic</w:t>
      </w:r>
      <w:r>
        <w:rPr>
          <w:sz w:val="24"/>
          <w:szCs w:val="24"/>
        </w:rPr>
        <w:t>i</w:t>
      </w:r>
      <w:r w:rsidRPr="00205A5D">
        <w:rPr>
          <w:sz w:val="24"/>
          <w:szCs w:val="24"/>
        </w:rPr>
        <w:t xml:space="preserve"> și </w:t>
      </w:r>
      <w:r>
        <w:rPr>
          <w:sz w:val="24"/>
          <w:szCs w:val="24"/>
        </w:rPr>
        <w:t>producători</w:t>
      </w:r>
      <w:r w:rsidRPr="00205A5D">
        <w:rPr>
          <w:sz w:val="24"/>
          <w:szCs w:val="24"/>
        </w:rPr>
        <w:t>i de energie electrică care beneficiază de schema de sprijin stabilită până la intrarea în vigoare a Legii privind promovarea utilizării energiei din surse regenerabile</w:t>
      </w:r>
      <w:r>
        <w:rPr>
          <w:sz w:val="24"/>
          <w:szCs w:val="24"/>
        </w:rPr>
        <w:t xml:space="preserve">. </w:t>
      </w:r>
    </w:p>
    <w:p w14:paraId="30570EDB" w14:textId="64BF4D5C" w:rsidR="00E40E32" w:rsidRPr="00205A5D" w:rsidRDefault="00E40E32" w:rsidP="00072FFA">
      <w:pPr>
        <w:pStyle w:val="Bodytext20"/>
        <w:spacing w:before="120" w:after="0" w:line="240" w:lineRule="auto"/>
        <w:ind w:firstLine="562"/>
        <w:rPr>
          <w:sz w:val="24"/>
          <w:szCs w:val="24"/>
        </w:rPr>
      </w:pPr>
      <w:r w:rsidRPr="00D854FA">
        <w:rPr>
          <w:sz w:val="24"/>
          <w:szCs w:val="24"/>
        </w:rPr>
        <w:t xml:space="preserve">Punctul </w:t>
      </w:r>
      <w:r w:rsidRPr="00E40E32">
        <w:rPr>
          <w:sz w:val="24"/>
          <w:szCs w:val="24"/>
        </w:rPr>
        <w:t>84</w:t>
      </w:r>
      <w:r>
        <w:rPr>
          <w:sz w:val="24"/>
          <w:szCs w:val="24"/>
        </w:rPr>
        <w:t xml:space="preserve"> din Regulamentul nr. 402/2025 prevede că </w:t>
      </w:r>
      <w:r w:rsidRPr="00D854FA">
        <w:rPr>
          <w:sz w:val="24"/>
          <w:szCs w:val="24"/>
        </w:rPr>
        <w:t>furnizorul central de energie electrică achită o plată egală cu produsul cuantumului aprobat conform pct. 80</w:t>
      </w:r>
      <w:r w:rsidR="00EA1E96">
        <w:rPr>
          <w:sz w:val="24"/>
          <w:szCs w:val="24"/>
        </w:rPr>
        <w:t xml:space="preserve"> </w:t>
      </w:r>
      <w:r w:rsidR="00EA1E96" w:rsidRPr="00DC168F">
        <w:rPr>
          <w:sz w:val="24"/>
          <w:szCs w:val="24"/>
        </w:rPr>
        <w:t>din același regulament</w:t>
      </w:r>
      <w:r w:rsidRPr="00D854FA">
        <w:rPr>
          <w:sz w:val="24"/>
          <w:szCs w:val="24"/>
        </w:rPr>
        <w:t xml:space="preserve"> și numărul producătorilor eligibili mici și producătorilor de energie electrică, care beneficiază de schema de sprijin stabilită până la intrarea în vigoare a Legii privind promovarea utilizării energiei din surse regenerabile și v</w:t>
      </w:r>
      <w:r w:rsidR="00E86E7D">
        <w:rPr>
          <w:sz w:val="24"/>
          <w:szCs w:val="24"/>
        </w:rPr>
        <w:t>â</w:t>
      </w:r>
      <w:r w:rsidRPr="00D854FA">
        <w:rPr>
          <w:sz w:val="24"/>
          <w:szCs w:val="24"/>
        </w:rPr>
        <w:t>nd energia electrică furnizorului central de energie electrică, atât timp cât centralele electrice eligibile și producătorii de energie electrică menționați beneficiază de schemele de sprijin, iar garanțiile de origine sunt emise furnizorului central de energie electrică.</w:t>
      </w:r>
    </w:p>
    <w:p w14:paraId="30B08407" w14:textId="1177521D" w:rsidR="00156D26" w:rsidRDefault="00156D26" w:rsidP="00072FFA">
      <w:pPr>
        <w:pStyle w:val="Bodytext20"/>
        <w:spacing w:before="120" w:after="0" w:line="240" w:lineRule="auto"/>
        <w:ind w:firstLine="562"/>
        <w:rPr>
          <w:sz w:val="24"/>
          <w:szCs w:val="24"/>
        </w:rPr>
      </w:pPr>
      <w:r>
        <w:rPr>
          <w:sz w:val="24"/>
          <w:szCs w:val="24"/>
        </w:rPr>
        <w:t>În context</w:t>
      </w:r>
      <w:r w:rsidR="00205A5D">
        <w:rPr>
          <w:sz w:val="24"/>
          <w:szCs w:val="24"/>
        </w:rPr>
        <w:t xml:space="preserve">ul celor expuse </w:t>
      </w:r>
      <w:r w:rsidR="0092645A">
        <w:rPr>
          <w:sz w:val="24"/>
          <w:szCs w:val="24"/>
        </w:rPr>
        <w:t xml:space="preserve">se atestă următorii potențiali </w:t>
      </w:r>
      <w:r w:rsidR="00835F64">
        <w:rPr>
          <w:sz w:val="24"/>
          <w:szCs w:val="24"/>
        </w:rPr>
        <w:t>u</w:t>
      </w:r>
      <w:r w:rsidR="00835F64" w:rsidRPr="00835F64">
        <w:rPr>
          <w:sz w:val="24"/>
          <w:szCs w:val="24"/>
        </w:rPr>
        <w:t xml:space="preserve">tilizatori ai sistemului informațional </w:t>
      </w:r>
      <w:r w:rsidR="0062327B">
        <w:rPr>
          <w:sz w:val="24"/>
          <w:szCs w:val="24"/>
        </w:rPr>
        <w:t>și numărul acestora după cum urmează</w:t>
      </w:r>
      <w:r w:rsidR="0092645A">
        <w:rPr>
          <w:sz w:val="24"/>
          <w:szCs w:val="24"/>
        </w:rPr>
        <w:t>:</w:t>
      </w:r>
    </w:p>
    <w:p w14:paraId="162026A4" w14:textId="41F84429" w:rsidR="00331BFB" w:rsidRDefault="00331BFB" w:rsidP="00280C3D">
      <w:pPr>
        <w:pStyle w:val="Bodytext20"/>
        <w:spacing w:before="120" w:after="120" w:line="240" w:lineRule="auto"/>
        <w:ind w:firstLine="562"/>
        <w:jc w:val="left"/>
        <w:rPr>
          <w:sz w:val="24"/>
          <w:szCs w:val="24"/>
        </w:rPr>
      </w:pPr>
      <w:r w:rsidRPr="00280C3D">
        <w:rPr>
          <w:b/>
          <w:sz w:val="24"/>
          <w:szCs w:val="24"/>
        </w:rPr>
        <w:lastRenderedPageBreak/>
        <w:t>Tabelul nr. 1</w:t>
      </w:r>
      <w:r w:rsidR="00284AE6">
        <w:rPr>
          <w:sz w:val="24"/>
          <w:szCs w:val="24"/>
        </w:rPr>
        <w:t>.</w:t>
      </w:r>
      <w:r>
        <w:rPr>
          <w:sz w:val="24"/>
          <w:szCs w:val="24"/>
        </w:rPr>
        <w:t xml:space="preserve"> Numărul</w:t>
      </w:r>
      <w:r w:rsidR="00835F64">
        <w:rPr>
          <w:sz w:val="24"/>
          <w:szCs w:val="24"/>
        </w:rPr>
        <w:t xml:space="preserve"> titularilor de conturi/</w:t>
      </w:r>
      <w:r w:rsidRPr="00331BFB">
        <w:rPr>
          <w:sz w:val="24"/>
          <w:szCs w:val="24"/>
        </w:rPr>
        <w:t>producătorilor agregați</w:t>
      </w:r>
    </w:p>
    <w:tbl>
      <w:tblPr>
        <w:tblStyle w:val="TableGrid"/>
        <w:tblW w:w="0" w:type="auto"/>
        <w:tblInd w:w="108" w:type="dxa"/>
        <w:tblLook w:val="04A0" w:firstRow="1" w:lastRow="0" w:firstColumn="1" w:lastColumn="0" w:noHBand="0" w:noVBand="1"/>
      </w:tblPr>
      <w:tblGrid>
        <w:gridCol w:w="556"/>
        <w:gridCol w:w="7324"/>
        <w:gridCol w:w="1736"/>
      </w:tblGrid>
      <w:tr w:rsidR="0062327B" w:rsidRPr="0062327B" w14:paraId="78AF3FC2" w14:textId="77777777" w:rsidTr="00DC168F">
        <w:tc>
          <w:tcPr>
            <w:tcW w:w="556" w:type="dxa"/>
            <w:vAlign w:val="center"/>
          </w:tcPr>
          <w:p w14:paraId="757A6F5D" w14:textId="052EE3CE" w:rsidR="0062327B" w:rsidRPr="0062327B" w:rsidRDefault="0062327B" w:rsidP="00835F64">
            <w:pPr>
              <w:pStyle w:val="Bodytext20"/>
              <w:shd w:val="clear" w:color="auto" w:fill="auto"/>
              <w:spacing w:before="0" w:after="0" w:line="240" w:lineRule="auto"/>
              <w:jc w:val="center"/>
              <w:rPr>
                <w:b/>
                <w:sz w:val="24"/>
                <w:szCs w:val="24"/>
              </w:rPr>
            </w:pPr>
            <w:r w:rsidRPr="0062327B">
              <w:rPr>
                <w:b/>
                <w:sz w:val="24"/>
                <w:szCs w:val="24"/>
              </w:rPr>
              <w:t>Nr.</w:t>
            </w:r>
          </w:p>
        </w:tc>
        <w:tc>
          <w:tcPr>
            <w:tcW w:w="7324" w:type="dxa"/>
            <w:tcBorders>
              <w:bottom w:val="single" w:sz="4" w:space="0" w:color="auto"/>
            </w:tcBorders>
            <w:vAlign w:val="center"/>
          </w:tcPr>
          <w:p w14:paraId="750F4B9A" w14:textId="7DA064BB" w:rsidR="0062327B" w:rsidRPr="0062327B" w:rsidRDefault="00835F64" w:rsidP="00835F64">
            <w:pPr>
              <w:pStyle w:val="Bodytext20"/>
              <w:shd w:val="clear" w:color="auto" w:fill="auto"/>
              <w:spacing w:before="0" w:after="0" w:line="240" w:lineRule="auto"/>
              <w:jc w:val="left"/>
              <w:rPr>
                <w:b/>
                <w:sz w:val="24"/>
                <w:szCs w:val="24"/>
              </w:rPr>
            </w:pPr>
            <w:r>
              <w:rPr>
                <w:b/>
                <w:sz w:val="24"/>
                <w:szCs w:val="24"/>
              </w:rPr>
              <w:t>Utilizatori ai sistemului informațional</w:t>
            </w:r>
          </w:p>
        </w:tc>
        <w:tc>
          <w:tcPr>
            <w:tcW w:w="1736" w:type="dxa"/>
            <w:tcBorders>
              <w:bottom w:val="single" w:sz="4" w:space="0" w:color="auto"/>
            </w:tcBorders>
          </w:tcPr>
          <w:p w14:paraId="66D446DB" w14:textId="6F246002" w:rsidR="0062327B" w:rsidRPr="0062327B" w:rsidRDefault="0062327B" w:rsidP="00835F64">
            <w:pPr>
              <w:pStyle w:val="Bodytext20"/>
              <w:shd w:val="clear" w:color="auto" w:fill="auto"/>
              <w:spacing w:before="0" w:after="0" w:line="240" w:lineRule="auto"/>
              <w:jc w:val="center"/>
              <w:rPr>
                <w:b/>
                <w:sz w:val="24"/>
                <w:szCs w:val="24"/>
              </w:rPr>
            </w:pPr>
            <w:r w:rsidRPr="0062327B">
              <w:rPr>
                <w:b/>
                <w:sz w:val="24"/>
                <w:szCs w:val="24"/>
              </w:rPr>
              <w:t>Nr.</w:t>
            </w:r>
            <w:r w:rsidR="00E55FD5">
              <w:rPr>
                <w:b/>
                <w:sz w:val="24"/>
                <w:szCs w:val="24"/>
              </w:rPr>
              <w:t xml:space="preserve"> titularilor </w:t>
            </w:r>
            <w:r w:rsidRPr="0062327B">
              <w:rPr>
                <w:b/>
                <w:sz w:val="24"/>
                <w:szCs w:val="24"/>
              </w:rPr>
              <w:t>de conturi</w:t>
            </w:r>
            <w:r w:rsidR="003074BE">
              <w:rPr>
                <w:b/>
                <w:sz w:val="24"/>
                <w:szCs w:val="24"/>
              </w:rPr>
              <w:t>/</w:t>
            </w:r>
            <w:r w:rsidR="003074BE" w:rsidRPr="0062327B">
              <w:rPr>
                <w:sz w:val="24"/>
                <w:szCs w:val="24"/>
              </w:rPr>
              <w:t xml:space="preserve"> </w:t>
            </w:r>
            <w:r w:rsidR="003074BE" w:rsidRPr="00D854FA">
              <w:rPr>
                <w:b/>
                <w:sz w:val="24"/>
                <w:szCs w:val="24"/>
              </w:rPr>
              <w:t>producătorilor agregați</w:t>
            </w:r>
          </w:p>
        </w:tc>
      </w:tr>
      <w:tr w:rsidR="00781092" w:rsidRPr="0062327B" w14:paraId="30F459AB" w14:textId="77777777" w:rsidTr="00DC168F">
        <w:trPr>
          <w:trHeight w:val="361"/>
        </w:trPr>
        <w:tc>
          <w:tcPr>
            <w:tcW w:w="556" w:type="dxa"/>
            <w:vAlign w:val="center"/>
          </w:tcPr>
          <w:p w14:paraId="586FBC08" w14:textId="60D4F9EB" w:rsidR="00781092" w:rsidRPr="0062327B" w:rsidRDefault="00781092" w:rsidP="00835F64">
            <w:pPr>
              <w:pStyle w:val="Bodytext20"/>
              <w:shd w:val="clear" w:color="auto" w:fill="auto"/>
              <w:spacing w:before="0" w:after="0" w:line="240" w:lineRule="auto"/>
              <w:jc w:val="center"/>
              <w:rPr>
                <w:b/>
                <w:sz w:val="24"/>
                <w:szCs w:val="24"/>
              </w:rPr>
            </w:pPr>
            <w:r>
              <w:rPr>
                <w:b/>
                <w:sz w:val="24"/>
                <w:szCs w:val="24"/>
              </w:rPr>
              <w:t>1.</w:t>
            </w:r>
          </w:p>
        </w:tc>
        <w:tc>
          <w:tcPr>
            <w:tcW w:w="9060" w:type="dxa"/>
            <w:gridSpan w:val="2"/>
            <w:tcBorders>
              <w:bottom w:val="nil"/>
            </w:tcBorders>
            <w:vAlign w:val="center"/>
          </w:tcPr>
          <w:p w14:paraId="3B1BB4D0" w14:textId="15BC3E46" w:rsidR="00781092" w:rsidRPr="0062327B" w:rsidRDefault="00781092" w:rsidP="00280C3D">
            <w:pPr>
              <w:pStyle w:val="Bodytext20"/>
              <w:shd w:val="clear" w:color="auto" w:fill="auto"/>
              <w:spacing w:before="0" w:after="0" w:line="240" w:lineRule="auto"/>
              <w:jc w:val="left"/>
              <w:rPr>
                <w:b/>
                <w:sz w:val="24"/>
                <w:szCs w:val="24"/>
              </w:rPr>
            </w:pPr>
            <w:r>
              <w:rPr>
                <w:sz w:val="24"/>
                <w:szCs w:val="24"/>
              </w:rPr>
              <w:t>N</w:t>
            </w:r>
            <w:r w:rsidRPr="00E55FD5">
              <w:rPr>
                <w:sz w:val="24"/>
                <w:szCs w:val="24"/>
              </w:rPr>
              <w:t xml:space="preserve">umărul titularilor de conturi prognozate pentru anul </w:t>
            </w:r>
            <w:r>
              <w:rPr>
                <w:sz w:val="24"/>
                <w:szCs w:val="24"/>
              </w:rPr>
              <w:t>2026, dintre care</w:t>
            </w:r>
            <w:r w:rsidRPr="00280C3D">
              <w:rPr>
                <w:b/>
                <w:sz w:val="24"/>
                <w:szCs w:val="24"/>
              </w:rPr>
              <w:t>:</w:t>
            </w:r>
          </w:p>
        </w:tc>
      </w:tr>
      <w:tr w:rsidR="00E55FD5" w14:paraId="287E858D" w14:textId="77777777" w:rsidTr="00DC168F">
        <w:tc>
          <w:tcPr>
            <w:tcW w:w="7880" w:type="dxa"/>
            <w:gridSpan w:val="2"/>
          </w:tcPr>
          <w:p w14:paraId="5154C19E" w14:textId="77777777" w:rsidR="00E55FD5" w:rsidRDefault="00E55FD5" w:rsidP="00181C15">
            <w:pPr>
              <w:pStyle w:val="Bodytext20"/>
              <w:shd w:val="clear" w:color="auto" w:fill="auto"/>
              <w:spacing w:before="120" w:after="0" w:line="240" w:lineRule="auto"/>
              <w:rPr>
                <w:sz w:val="24"/>
                <w:szCs w:val="24"/>
              </w:rPr>
            </w:pPr>
            <w:r w:rsidRPr="0062327B">
              <w:rPr>
                <w:i/>
                <w:sz w:val="24"/>
                <w:szCs w:val="24"/>
              </w:rPr>
              <w:t>Furnizorii de energie electrică</w:t>
            </w:r>
            <w:r>
              <w:rPr>
                <w:sz w:val="24"/>
                <w:szCs w:val="24"/>
              </w:rPr>
              <w:t>:</w:t>
            </w:r>
          </w:p>
          <w:p w14:paraId="5AFD9421" w14:textId="391DFE5B" w:rsidR="00E55FD5" w:rsidRDefault="00E55FD5" w:rsidP="00181C15">
            <w:pPr>
              <w:pStyle w:val="Bodytext20"/>
              <w:shd w:val="clear" w:color="auto" w:fill="auto"/>
              <w:spacing w:before="120" w:after="0" w:line="240" w:lineRule="auto"/>
              <w:rPr>
                <w:sz w:val="24"/>
                <w:szCs w:val="24"/>
              </w:rPr>
            </w:pPr>
            <w:r w:rsidRPr="0092645A">
              <w:rPr>
                <w:sz w:val="24"/>
                <w:szCs w:val="24"/>
              </w:rPr>
              <w:t xml:space="preserve">Î.C.S. „Premier Energy” S.R.L., S.A. „Furnizarea Energiei Electrice Nord”, S.R.L. „Navitas Energy”, S.R.L. „ML Energy-Group” </w:t>
            </w:r>
            <w:r w:rsidRPr="0062327B">
              <w:rPr>
                <w:sz w:val="24"/>
                <w:szCs w:val="24"/>
              </w:rPr>
              <w:t>ș</w:t>
            </w:r>
            <w:r w:rsidRPr="0092645A">
              <w:rPr>
                <w:sz w:val="24"/>
                <w:szCs w:val="24"/>
              </w:rPr>
              <w:t xml:space="preserve">i S.R.L. </w:t>
            </w:r>
            <w:r w:rsidRPr="0062327B">
              <w:rPr>
                <w:sz w:val="24"/>
                <w:szCs w:val="24"/>
              </w:rPr>
              <w:t>„</w:t>
            </w:r>
            <w:r w:rsidRPr="0092645A">
              <w:rPr>
                <w:sz w:val="24"/>
                <w:szCs w:val="24"/>
              </w:rPr>
              <w:t>M.Energy Trading</w:t>
            </w:r>
            <w:r w:rsidRPr="0062327B">
              <w:rPr>
                <w:sz w:val="24"/>
                <w:szCs w:val="24"/>
              </w:rPr>
              <w:t>”</w:t>
            </w:r>
            <w:r w:rsidR="00E40E32">
              <w:rPr>
                <w:sz w:val="24"/>
                <w:szCs w:val="24"/>
              </w:rPr>
              <w:t>.</w:t>
            </w:r>
          </w:p>
        </w:tc>
        <w:tc>
          <w:tcPr>
            <w:tcW w:w="1736" w:type="dxa"/>
            <w:vAlign w:val="center"/>
          </w:tcPr>
          <w:p w14:paraId="4D289239" w14:textId="58DB2DFE" w:rsidR="00E55FD5" w:rsidRDefault="00E40E32" w:rsidP="0062327B">
            <w:pPr>
              <w:pStyle w:val="Bodytext20"/>
              <w:shd w:val="clear" w:color="auto" w:fill="auto"/>
              <w:spacing w:before="120" w:after="0" w:line="240" w:lineRule="auto"/>
              <w:jc w:val="center"/>
              <w:rPr>
                <w:sz w:val="24"/>
                <w:szCs w:val="24"/>
              </w:rPr>
            </w:pPr>
            <w:r>
              <w:rPr>
                <w:sz w:val="24"/>
                <w:szCs w:val="24"/>
              </w:rPr>
              <w:t>5</w:t>
            </w:r>
          </w:p>
        </w:tc>
      </w:tr>
      <w:tr w:rsidR="00E55FD5" w14:paraId="7EF847CA" w14:textId="77777777" w:rsidTr="00DC168F">
        <w:tc>
          <w:tcPr>
            <w:tcW w:w="7880" w:type="dxa"/>
            <w:gridSpan w:val="2"/>
          </w:tcPr>
          <w:p w14:paraId="124A74A9" w14:textId="35534DFE" w:rsidR="00E55FD5" w:rsidRPr="0062327B" w:rsidRDefault="00E55FD5" w:rsidP="002546A2">
            <w:pPr>
              <w:pStyle w:val="Bodytext20"/>
              <w:shd w:val="clear" w:color="auto" w:fill="auto"/>
              <w:spacing w:before="120" w:after="0" w:line="240" w:lineRule="auto"/>
              <w:rPr>
                <w:i/>
                <w:sz w:val="24"/>
                <w:szCs w:val="24"/>
              </w:rPr>
            </w:pPr>
            <w:r>
              <w:rPr>
                <w:sz w:val="24"/>
                <w:szCs w:val="24"/>
              </w:rPr>
              <w:t xml:space="preserve">Consumatori (care </w:t>
            </w:r>
            <w:r w:rsidR="002546A2">
              <w:rPr>
                <w:sz w:val="24"/>
                <w:szCs w:val="24"/>
              </w:rPr>
              <w:t>au solicitat înregistrarea în Registrul garanțiilor de origine</w:t>
            </w:r>
            <w:r>
              <w:rPr>
                <w:sz w:val="24"/>
                <w:szCs w:val="24"/>
              </w:rPr>
              <w:t>)</w:t>
            </w:r>
          </w:p>
        </w:tc>
        <w:tc>
          <w:tcPr>
            <w:tcW w:w="1736" w:type="dxa"/>
          </w:tcPr>
          <w:p w14:paraId="4D6A3822" w14:textId="6B80602F" w:rsidR="00E55FD5" w:rsidRDefault="00E55FD5" w:rsidP="00E55FD5">
            <w:pPr>
              <w:pStyle w:val="Bodytext20"/>
              <w:shd w:val="clear" w:color="auto" w:fill="auto"/>
              <w:spacing w:before="120" w:after="0" w:line="240" w:lineRule="auto"/>
              <w:jc w:val="center"/>
              <w:rPr>
                <w:sz w:val="24"/>
                <w:szCs w:val="24"/>
              </w:rPr>
            </w:pPr>
            <w:r>
              <w:rPr>
                <w:sz w:val="24"/>
                <w:szCs w:val="24"/>
              </w:rPr>
              <w:t>2</w:t>
            </w:r>
          </w:p>
        </w:tc>
      </w:tr>
      <w:tr w:rsidR="00E55FD5" w14:paraId="5940A9D8" w14:textId="77777777" w:rsidTr="00DC168F">
        <w:tc>
          <w:tcPr>
            <w:tcW w:w="7880" w:type="dxa"/>
            <w:gridSpan w:val="2"/>
          </w:tcPr>
          <w:p w14:paraId="177D1D46" w14:textId="2CF093B6" w:rsidR="00E55FD5" w:rsidRDefault="00E55FD5" w:rsidP="00E55FD5">
            <w:pPr>
              <w:pStyle w:val="Bodytext20"/>
              <w:shd w:val="clear" w:color="auto" w:fill="auto"/>
              <w:spacing w:before="120" w:after="0" w:line="240" w:lineRule="auto"/>
              <w:rPr>
                <w:sz w:val="24"/>
                <w:szCs w:val="24"/>
              </w:rPr>
            </w:pPr>
            <w:r>
              <w:rPr>
                <w:sz w:val="24"/>
                <w:szCs w:val="24"/>
              </w:rPr>
              <w:t xml:space="preserve">Producători pe piața liberă </w:t>
            </w:r>
          </w:p>
        </w:tc>
        <w:tc>
          <w:tcPr>
            <w:tcW w:w="1736" w:type="dxa"/>
          </w:tcPr>
          <w:p w14:paraId="35D8CD17" w14:textId="3571255F" w:rsidR="00E55FD5" w:rsidRDefault="00E40E32" w:rsidP="00E55FD5">
            <w:pPr>
              <w:pStyle w:val="Bodytext20"/>
              <w:shd w:val="clear" w:color="auto" w:fill="auto"/>
              <w:spacing w:before="120" w:after="0" w:line="240" w:lineRule="auto"/>
              <w:jc w:val="center"/>
              <w:rPr>
                <w:sz w:val="24"/>
                <w:szCs w:val="24"/>
              </w:rPr>
            </w:pPr>
            <w:r>
              <w:rPr>
                <w:sz w:val="24"/>
                <w:szCs w:val="24"/>
              </w:rPr>
              <w:t>0</w:t>
            </w:r>
          </w:p>
        </w:tc>
      </w:tr>
      <w:tr w:rsidR="003074BE" w14:paraId="038A4AB4" w14:textId="77777777" w:rsidTr="00DC168F">
        <w:tc>
          <w:tcPr>
            <w:tcW w:w="556" w:type="dxa"/>
          </w:tcPr>
          <w:p w14:paraId="2DF47FAD" w14:textId="0B54CC50" w:rsidR="003074BE" w:rsidRPr="00E55FD5" w:rsidRDefault="003074BE" w:rsidP="00835F64">
            <w:pPr>
              <w:pStyle w:val="Bodytext20"/>
              <w:shd w:val="clear" w:color="auto" w:fill="auto"/>
              <w:spacing w:before="0" w:after="0" w:line="240" w:lineRule="auto"/>
              <w:rPr>
                <w:b/>
                <w:sz w:val="24"/>
                <w:szCs w:val="24"/>
              </w:rPr>
            </w:pPr>
            <w:r w:rsidRPr="00E55FD5">
              <w:rPr>
                <w:b/>
                <w:sz w:val="24"/>
                <w:szCs w:val="24"/>
              </w:rPr>
              <w:t>2.</w:t>
            </w:r>
          </w:p>
        </w:tc>
        <w:tc>
          <w:tcPr>
            <w:tcW w:w="9060" w:type="dxa"/>
            <w:gridSpan w:val="2"/>
          </w:tcPr>
          <w:p w14:paraId="1078C0D4" w14:textId="117F0354" w:rsidR="003074BE" w:rsidRPr="00E55FD5" w:rsidRDefault="003074BE" w:rsidP="00835F64">
            <w:pPr>
              <w:pStyle w:val="Bodytext20"/>
              <w:shd w:val="clear" w:color="auto" w:fill="auto"/>
              <w:spacing w:before="0" w:after="0" w:line="240" w:lineRule="auto"/>
              <w:rPr>
                <w:b/>
                <w:sz w:val="24"/>
                <w:szCs w:val="24"/>
              </w:rPr>
            </w:pPr>
            <w:r>
              <w:rPr>
                <w:sz w:val="24"/>
                <w:szCs w:val="24"/>
              </w:rPr>
              <w:t>N</w:t>
            </w:r>
            <w:r w:rsidRPr="0062327B">
              <w:rPr>
                <w:sz w:val="24"/>
                <w:szCs w:val="24"/>
              </w:rPr>
              <w:t>umărul producătorilor eligibili mici și producătorilor de energie electrică, care beneficiază de schema de sprijin stabilită până la intrarea în vigoare a Legii privind promovarea utilizării energiei din surse regenerabile care au contracte și vând energia electrică furnizorului central de energie electrică</w:t>
            </w:r>
            <w:r w:rsidR="00134767">
              <w:rPr>
                <w:sz w:val="24"/>
                <w:szCs w:val="24"/>
              </w:rPr>
              <w:t xml:space="preserve"> (producători agregați)</w:t>
            </w:r>
          </w:p>
        </w:tc>
      </w:tr>
      <w:tr w:rsidR="00E55FD5" w14:paraId="3869295A" w14:textId="77777777" w:rsidTr="00DC168F">
        <w:tc>
          <w:tcPr>
            <w:tcW w:w="7880" w:type="dxa"/>
            <w:gridSpan w:val="2"/>
          </w:tcPr>
          <w:p w14:paraId="6D9BB13A" w14:textId="0E804719" w:rsidR="00E55FD5" w:rsidRPr="00E55FD5" w:rsidRDefault="00E55FD5" w:rsidP="00E55FD5">
            <w:pPr>
              <w:pStyle w:val="Bodytext20"/>
              <w:shd w:val="clear" w:color="auto" w:fill="auto"/>
              <w:spacing w:before="120" w:after="0" w:line="240" w:lineRule="auto"/>
              <w:rPr>
                <w:i/>
                <w:sz w:val="24"/>
                <w:szCs w:val="24"/>
              </w:rPr>
            </w:pPr>
            <w:r w:rsidRPr="0062327B">
              <w:rPr>
                <w:i/>
                <w:sz w:val="24"/>
                <w:szCs w:val="24"/>
              </w:rPr>
              <w:t>Furnizorul central de energie electrică – S.A. „Energocom”</w:t>
            </w:r>
            <w:r>
              <w:rPr>
                <w:i/>
                <w:sz w:val="24"/>
                <w:szCs w:val="24"/>
              </w:rPr>
              <w:t xml:space="preserve"> – contracte în vigoare</w:t>
            </w:r>
          </w:p>
        </w:tc>
        <w:tc>
          <w:tcPr>
            <w:tcW w:w="1736" w:type="dxa"/>
            <w:vAlign w:val="center"/>
          </w:tcPr>
          <w:p w14:paraId="08EAF296" w14:textId="22D1493F" w:rsidR="00E55FD5" w:rsidRPr="00F54FCB" w:rsidRDefault="00B4764E" w:rsidP="003074BE">
            <w:pPr>
              <w:pStyle w:val="Bodytext20"/>
              <w:shd w:val="clear" w:color="auto" w:fill="auto"/>
              <w:spacing w:before="120" w:after="0" w:line="240" w:lineRule="auto"/>
              <w:jc w:val="center"/>
              <w:rPr>
                <w:sz w:val="24"/>
                <w:szCs w:val="24"/>
              </w:rPr>
            </w:pPr>
            <w:r>
              <w:rPr>
                <w:sz w:val="24"/>
                <w:szCs w:val="24"/>
              </w:rPr>
              <w:t>219</w:t>
            </w:r>
          </w:p>
        </w:tc>
      </w:tr>
      <w:tr w:rsidR="00E55FD5" w14:paraId="05C4587E" w14:textId="77777777" w:rsidTr="00DC168F">
        <w:tc>
          <w:tcPr>
            <w:tcW w:w="7880" w:type="dxa"/>
            <w:gridSpan w:val="2"/>
          </w:tcPr>
          <w:p w14:paraId="3036034D" w14:textId="71ADB45B" w:rsidR="00E55FD5" w:rsidRPr="0062327B" w:rsidRDefault="00E55FD5" w:rsidP="00280C3D">
            <w:pPr>
              <w:pStyle w:val="Bodytext20"/>
              <w:shd w:val="clear" w:color="auto" w:fill="auto"/>
              <w:spacing w:before="120" w:after="0" w:line="240" w:lineRule="auto"/>
              <w:rPr>
                <w:b/>
                <w:sz w:val="24"/>
                <w:szCs w:val="24"/>
              </w:rPr>
            </w:pPr>
            <w:r w:rsidRPr="0062327B">
              <w:rPr>
                <w:b/>
                <w:sz w:val="24"/>
                <w:szCs w:val="24"/>
              </w:rPr>
              <w:t>Total</w:t>
            </w:r>
            <w:r w:rsidR="00284AE6">
              <w:rPr>
                <w:b/>
                <w:sz w:val="24"/>
                <w:szCs w:val="24"/>
              </w:rPr>
              <w:t xml:space="preserve"> </w:t>
            </w:r>
          </w:p>
        </w:tc>
        <w:tc>
          <w:tcPr>
            <w:tcW w:w="1736" w:type="dxa"/>
          </w:tcPr>
          <w:p w14:paraId="232962E9" w14:textId="4320BDCF" w:rsidR="00E55FD5" w:rsidRPr="00CE7130" w:rsidRDefault="003074BE" w:rsidP="003074BE">
            <w:pPr>
              <w:pStyle w:val="Bodytext20"/>
              <w:shd w:val="clear" w:color="auto" w:fill="auto"/>
              <w:spacing w:before="120" w:after="0" w:line="240" w:lineRule="auto"/>
              <w:jc w:val="center"/>
              <w:rPr>
                <w:b/>
                <w:sz w:val="24"/>
                <w:szCs w:val="24"/>
              </w:rPr>
            </w:pPr>
            <w:r w:rsidRPr="00CE7130">
              <w:rPr>
                <w:b/>
                <w:sz w:val="24"/>
                <w:szCs w:val="24"/>
              </w:rPr>
              <w:t>2</w:t>
            </w:r>
            <w:r w:rsidR="00B4764E">
              <w:rPr>
                <w:b/>
                <w:sz w:val="24"/>
                <w:szCs w:val="24"/>
              </w:rPr>
              <w:t>26</w:t>
            </w:r>
            <w:bookmarkStart w:id="2" w:name="_GoBack"/>
            <w:bookmarkEnd w:id="2"/>
          </w:p>
        </w:tc>
      </w:tr>
    </w:tbl>
    <w:p w14:paraId="3D5C59F5" w14:textId="63D3EF81" w:rsidR="00B4218C" w:rsidRDefault="00F23CE3" w:rsidP="00072FFA">
      <w:pPr>
        <w:pStyle w:val="Bodytext20"/>
        <w:spacing w:before="120" w:after="0" w:line="240" w:lineRule="auto"/>
        <w:ind w:firstLine="562"/>
        <w:rPr>
          <w:sz w:val="24"/>
          <w:szCs w:val="24"/>
        </w:rPr>
      </w:pPr>
      <w:r>
        <w:rPr>
          <w:sz w:val="24"/>
          <w:szCs w:val="24"/>
        </w:rPr>
        <w:t>În contextul celor menționate și având la bază formula de calcul prevăzută de pct. 78 din Regulamentul nr. 402/2025, c</w:t>
      </w:r>
      <w:r w:rsidRPr="00A95FD6">
        <w:rPr>
          <w:sz w:val="24"/>
          <w:szCs w:val="24"/>
        </w:rPr>
        <w:t>uantumul plății</w:t>
      </w:r>
      <w:r>
        <w:rPr>
          <w:sz w:val="24"/>
          <w:szCs w:val="24"/>
        </w:rPr>
        <w:t xml:space="preserve"> </w:t>
      </w:r>
      <w:r w:rsidR="00B47383">
        <w:rPr>
          <w:sz w:val="24"/>
          <w:szCs w:val="24"/>
        </w:rPr>
        <w:t>pentru anul 2026 este</w:t>
      </w:r>
      <w:r w:rsidRPr="00A95FD6">
        <w:rPr>
          <w:sz w:val="24"/>
          <w:szCs w:val="24"/>
        </w:rPr>
        <w:t>:</w:t>
      </w:r>
    </w:p>
    <w:p w14:paraId="0CF16308" w14:textId="01C83BFC" w:rsidR="00F23CE3" w:rsidRDefault="000F6CD0" w:rsidP="00072FFA">
      <w:pPr>
        <w:pStyle w:val="NormalWeb"/>
        <w:spacing w:before="120"/>
        <w:rPr>
          <w:lang w:val="ro-RO"/>
        </w:rPr>
      </w:pPr>
      <m:oMathPara>
        <m:oMath>
          <m:sSub>
            <m:sSubPr>
              <m:ctrlPr>
                <w:rPr>
                  <w:rFonts w:ascii="Cambria Math" w:hAnsi="Cambria Math"/>
                  <w:i/>
                  <w:lang w:val="ro-RO" w:eastAsia="ro-RO"/>
                </w:rPr>
              </m:ctrlPr>
            </m:sSubPr>
            <m:e>
              <m:r>
                <w:rPr>
                  <w:rFonts w:ascii="Cambria Math" w:hAnsi="Cambria Math"/>
                  <w:lang w:val="ro-RO" w:eastAsia="ro-RO"/>
                </w:rPr>
                <m:t>CP</m:t>
              </m:r>
            </m:e>
            <m:sub>
              <m:r>
                <w:rPr>
                  <w:rFonts w:ascii="Cambria Math" w:hAnsi="Cambria Math"/>
                  <w:lang w:val="ro-RO" w:eastAsia="ro-RO"/>
                </w:rPr>
                <m:t>2026</m:t>
              </m:r>
            </m:sub>
          </m:sSub>
          <m:r>
            <w:rPr>
              <w:rFonts w:ascii="Cambria Math" w:hAnsi="Cambria Math"/>
              <w:lang w:val="ro-RO" w:eastAsia="ro-RO"/>
            </w:rPr>
            <m:t>=</m:t>
          </m:r>
          <m:f>
            <m:fPr>
              <m:ctrlPr>
                <w:rPr>
                  <w:rFonts w:ascii="Cambria Math" w:hAnsi="Cambria Math"/>
                  <w:i/>
                  <w:lang w:val="ro-RO" w:eastAsia="ro-RO"/>
                </w:rPr>
              </m:ctrlPr>
            </m:fPr>
            <m:num>
              <m:r>
                <m:rPr>
                  <m:sty m:val="p"/>
                </m:rPr>
                <w:rPr>
                  <w:rFonts w:ascii="Cambria Math" w:hAnsi="Cambria Math"/>
                </w:rPr>
                <m:t>683 990 lei</m:t>
              </m:r>
            </m:num>
            <m:den>
              <m:r>
                <w:rPr>
                  <w:rFonts w:ascii="Cambria Math" w:hAnsi="Cambria Math"/>
                  <w:lang w:val="ro-RO" w:eastAsia="ro-RO"/>
                </w:rPr>
                <m:t>7+ 219</m:t>
              </m:r>
            </m:den>
          </m:f>
          <m:r>
            <w:rPr>
              <w:rFonts w:ascii="Cambria Math" w:hAnsi="Cambria Math"/>
              <w:lang w:val="ro-RO" w:eastAsia="ro-RO"/>
            </w:rPr>
            <m:t>=3027 lei</m:t>
          </m:r>
        </m:oMath>
      </m:oMathPara>
    </w:p>
    <w:p w14:paraId="28BA078D" w14:textId="043D4413" w:rsidR="00135123" w:rsidRPr="00971B70" w:rsidRDefault="00E40E32" w:rsidP="00072FFA">
      <w:pPr>
        <w:pStyle w:val="Bodytext20"/>
        <w:spacing w:before="120" w:after="0" w:line="240" w:lineRule="auto"/>
        <w:ind w:firstLine="562"/>
        <w:rPr>
          <w:sz w:val="24"/>
          <w:szCs w:val="24"/>
        </w:rPr>
      </w:pPr>
      <w:r w:rsidRPr="00E40E32">
        <w:rPr>
          <w:sz w:val="24"/>
          <w:szCs w:val="24"/>
        </w:rPr>
        <w:t xml:space="preserve">Astfel, reieșind din cele menționate, </w:t>
      </w:r>
      <w:r w:rsidR="00CF654B">
        <w:rPr>
          <w:sz w:val="24"/>
          <w:szCs w:val="24"/>
        </w:rPr>
        <w:t xml:space="preserve">se propune spre aprobare </w:t>
      </w:r>
      <w:r w:rsidR="00CF654B" w:rsidRPr="00CF654B">
        <w:rPr>
          <w:sz w:val="24"/>
          <w:szCs w:val="24"/>
        </w:rPr>
        <w:t xml:space="preserve">cuantumul plății anuale pentru utilizarea </w:t>
      </w:r>
      <w:r w:rsidR="008A22AF">
        <w:rPr>
          <w:sz w:val="24"/>
          <w:szCs w:val="24"/>
        </w:rPr>
        <w:t>R</w:t>
      </w:r>
      <w:r w:rsidR="00CF654B" w:rsidRPr="00CF654B">
        <w:rPr>
          <w:sz w:val="24"/>
          <w:szCs w:val="24"/>
        </w:rPr>
        <w:t>egistrul</w:t>
      </w:r>
      <w:r w:rsidR="00CF654B">
        <w:rPr>
          <w:sz w:val="24"/>
          <w:szCs w:val="24"/>
        </w:rPr>
        <w:t>ui</w:t>
      </w:r>
      <w:r w:rsidR="00CF654B" w:rsidRPr="00CF654B">
        <w:rPr>
          <w:sz w:val="24"/>
          <w:szCs w:val="24"/>
        </w:rPr>
        <w:t xml:space="preserve"> de către </w:t>
      </w:r>
      <w:r w:rsidR="008A22AF">
        <w:rPr>
          <w:sz w:val="24"/>
          <w:szCs w:val="24"/>
        </w:rPr>
        <w:t xml:space="preserve">utilizatorii </w:t>
      </w:r>
      <w:r w:rsidR="008A22AF" w:rsidRPr="00CF654B">
        <w:rPr>
          <w:sz w:val="24"/>
          <w:szCs w:val="24"/>
        </w:rPr>
        <w:t>sistemului informațional</w:t>
      </w:r>
      <w:r w:rsidR="00971B70">
        <w:rPr>
          <w:sz w:val="24"/>
          <w:szCs w:val="24"/>
        </w:rPr>
        <w:t xml:space="preserve"> în</w:t>
      </w:r>
      <w:r w:rsidR="00357B1E">
        <w:rPr>
          <w:sz w:val="24"/>
          <w:szCs w:val="24"/>
        </w:rPr>
        <w:t xml:space="preserve"> valoare de </w:t>
      </w:r>
      <w:r w:rsidR="001935E4" w:rsidRPr="001935E4">
        <w:rPr>
          <w:sz w:val="24"/>
          <w:szCs w:val="24"/>
        </w:rPr>
        <w:t>30</w:t>
      </w:r>
      <w:r w:rsidR="00516CA5">
        <w:rPr>
          <w:sz w:val="24"/>
          <w:szCs w:val="24"/>
        </w:rPr>
        <w:t>27</w:t>
      </w:r>
      <w:r w:rsidR="00971B70">
        <w:rPr>
          <w:sz w:val="24"/>
          <w:szCs w:val="24"/>
        </w:rPr>
        <w:t xml:space="preserve"> </w:t>
      </w:r>
      <w:r w:rsidR="00CF654B">
        <w:rPr>
          <w:sz w:val="24"/>
          <w:szCs w:val="24"/>
        </w:rPr>
        <w:t>lei pentru anul 2026</w:t>
      </w:r>
      <w:r w:rsidR="00C27867">
        <w:rPr>
          <w:sz w:val="24"/>
          <w:szCs w:val="24"/>
        </w:rPr>
        <w:t xml:space="preserve">. </w:t>
      </w:r>
      <w:r w:rsidR="00CF654B" w:rsidRPr="00CF654B">
        <w:rPr>
          <w:sz w:val="24"/>
          <w:szCs w:val="24"/>
        </w:rPr>
        <w:t xml:space="preserve">În conformitate cu </w:t>
      </w:r>
      <w:r w:rsidR="00357C12" w:rsidRPr="00CF654B">
        <w:rPr>
          <w:sz w:val="24"/>
          <w:szCs w:val="24"/>
        </w:rPr>
        <w:t>p</w:t>
      </w:r>
      <w:r w:rsidR="00135123" w:rsidRPr="003074BE">
        <w:rPr>
          <w:sz w:val="24"/>
          <w:szCs w:val="24"/>
        </w:rPr>
        <w:t>ct. 80 din Regulamentul nr. 402/2025</w:t>
      </w:r>
      <w:r w:rsidR="00CF654B" w:rsidRPr="003074BE">
        <w:rPr>
          <w:sz w:val="24"/>
          <w:szCs w:val="24"/>
        </w:rPr>
        <w:t>,</w:t>
      </w:r>
      <w:r w:rsidR="00135123" w:rsidRPr="003074BE">
        <w:rPr>
          <w:sz w:val="24"/>
          <w:szCs w:val="24"/>
        </w:rPr>
        <w:t xml:space="preserve"> </w:t>
      </w:r>
      <w:r w:rsidR="00CF654B" w:rsidRPr="00CF654B">
        <w:rPr>
          <w:sz w:val="24"/>
          <w:szCs w:val="24"/>
        </w:rPr>
        <w:t>A</w:t>
      </w:r>
      <w:r w:rsidR="00135123" w:rsidRPr="00D854FA">
        <w:rPr>
          <w:sz w:val="24"/>
          <w:szCs w:val="24"/>
        </w:rPr>
        <w:t>genția</w:t>
      </w:r>
      <w:r w:rsidR="00CF654B" w:rsidRPr="00D854FA">
        <w:rPr>
          <w:sz w:val="24"/>
          <w:szCs w:val="24"/>
        </w:rPr>
        <w:t xml:space="preserve"> va</w:t>
      </w:r>
      <w:r w:rsidR="00135123" w:rsidRPr="00D854FA">
        <w:rPr>
          <w:sz w:val="24"/>
          <w:szCs w:val="24"/>
        </w:rPr>
        <w:t xml:space="preserve"> notific</w:t>
      </w:r>
      <w:r w:rsidR="003D353C">
        <w:rPr>
          <w:sz w:val="24"/>
          <w:szCs w:val="24"/>
        </w:rPr>
        <w:t>a</w:t>
      </w:r>
      <w:r w:rsidR="00135123" w:rsidRPr="00D854FA">
        <w:rPr>
          <w:sz w:val="24"/>
          <w:szCs w:val="24"/>
        </w:rPr>
        <w:t xml:space="preserve"> </w:t>
      </w:r>
      <w:r w:rsidR="003069A4">
        <w:rPr>
          <w:sz w:val="24"/>
          <w:szCs w:val="24"/>
        </w:rPr>
        <w:t>potențialii utilizatori ai sistemului informațional</w:t>
      </w:r>
      <w:r w:rsidR="00135123" w:rsidRPr="00D854FA">
        <w:rPr>
          <w:sz w:val="24"/>
          <w:szCs w:val="24"/>
        </w:rPr>
        <w:t xml:space="preserve"> privind aprobarea hotărârii respectiv</w:t>
      </w:r>
      <w:r w:rsidR="003069A4">
        <w:rPr>
          <w:sz w:val="24"/>
          <w:szCs w:val="24"/>
        </w:rPr>
        <w:t>e,</w:t>
      </w:r>
      <w:r w:rsidR="00357C12" w:rsidRPr="00CF654B">
        <w:rPr>
          <w:sz w:val="24"/>
          <w:szCs w:val="24"/>
        </w:rPr>
        <w:t xml:space="preserve"> </w:t>
      </w:r>
      <w:r w:rsidR="00CF654B" w:rsidRPr="00CF654B">
        <w:rPr>
          <w:sz w:val="24"/>
          <w:szCs w:val="24"/>
        </w:rPr>
        <w:t xml:space="preserve">iar conform </w:t>
      </w:r>
      <w:r w:rsidR="00357C12" w:rsidRPr="003074BE">
        <w:rPr>
          <w:sz w:val="24"/>
          <w:szCs w:val="24"/>
        </w:rPr>
        <w:t>pct. 81</w:t>
      </w:r>
      <w:r w:rsidR="003069A4">
        <w:rPr>
          <w:sz w:val="24"/>
          <w:szCs w:val="24"/>
        </w:rPr>
        <w:t xml:space="preserve"> din Regulamentul nr. 402/2025 aceștia</w:t>
      </w:r>
      <w:r w:rsidR="00CF654B" w:rsidRPr="00D854FA">
        <w:rPr>
          <w:sz w:val="24"/>
          <w:szCs w:val="24"/>
        </w:rPr>
        <w:t xml:space="preserve"> urmează să</w:t>
      </w:r>
      <w:r w:rsidR="00357C12" w:rsidRPr="00D854FA">
        <w:rPr>
          <w:sz w:val="24"/>
          <w:szCs w:val="24"/>
        </w:rPr>
        <w:t xml:space="preserve"> </w:t>
      </w:r>
      <w:r w:rsidR="00CF654B" w:rsidRPr="00D854FA">
        <w:rPr>
          <w:sz w:val="24"/>
          <w:szCs w:val="24"/>
        </w:rPr>
        <w:t xml:space="preserve">achite </w:t>
      </w:r>
      <w:r w:rsidR="00357C12" w:rsidRPr="00D854FA">
        <w:rPr>
          <w:sz w:val="24"/>
          <w:szCs w:val="24"/>
        </w:rPr>
        <w:t>plata aprobată de Agenție în termen de 30 de zile din momentul publicării informației privind cuantumul plății pe pagina web oficială a Agenției</w:t>
      </w:r>
      <w:r w:rsidR="00CF654B" w:rsidRPr="00D854FA">
        <w:rPr>
          <w:sz w:val="24"/>
          <w:szCs w:val="24"/>
        </w:rPr>
        <w:t xml:space="preserve">. </w:t>
      </w:r>
    </w:p>
    <w:p w14:paraId="6CFFB014" w14:textId="77777777" w:rsidR="000F49BF" w:rsidRPr="00C45344" w:rsidRDefault="000F49BF" w:rsidP="000F49BF">
      <w:pPr>
        <w:pStyle w:val="Bodytext20"/>
        <w:shd w:val="clear" w:color="auto" w:fill="auto"/>
        <w:spacing w:before="0" w:after="0" w:line="240" w:lineRule="auto"/>
        <w:jc w:val="center"/>
        <w:rPr>
          <w:sz w:val="24"/>
          <w:szCs w:val="24"/>
          <w:lang w:val="ro-MD"/>
        </w:rPr>
      </w:pPr>
    </w:p>
    <w:sectPr w:rsidR="000F49BF" w:rsidRPr="00C45344">
      <w:pgSz w:w="11900" w:h="16840"/>
      <w:pgMar w:top="934" w:right="793" w:bottom="1308" w:left="1373"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4D2E6" w14:textId="77777777" w:rsidR="000F6CD0" w:rsidRDefault="000F6CD0">
      <w:r>
        <w:separator/>
      </w:r>
    </w:p>
  </w:endnote>
  <w:endnote w:type="continuationSeparator" w:id="0">
    <w:p w14:paraId="74792664" w14:textId="77777777" w:rsidR="000F6CD0" w:rsidRDefault="000F6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5971F" w14:textId="77777777" w:rsidR="000F6CD0" w:rsidRDefault="000F6CD0"/>
  </w:footnote>
  <w:footnote w:type="continuationSeparator" w:id="0">
    <w:p w14:paraId="4A2D0EE1" w14:textId="77777777" w:rsidR="000F6CD0" w:rsidRDefault="000F6CD0"/>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82F29"/>
    <w:multiLevelType w:val="hybridMultilevel"/>
    <w:tmpl w:val="4B824FBC"/>
    <w:lvl w:ilvl="0" w:tplc="86480378">
      <w:start w:val="1"/>
      <w:numFmt w:val="decimal"/>
      <w:lvlText w:val="%1."/>
      <w:lvlJc w:val="left"/>
      <w:pPr>
        <w:ind w:left="1069" w:hanging="360"/>
      </w:pPr>
      <w:rPr>
        <w:rFonts w:ascii="Times New Roman" w:hAnsi="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D004FFD"/>
    <w:multiLevelType w:val="hybridMultilevel"/>
    <w:tmpl w:val="5B2400A6"/>
    <w:lvl w:ilvl="0" w:tplc="7E642330">
      <w:start w:val="1"/>
      <w:numFmt w:val="decimal"/>
      <w:lvlText w:val="%1)"/>
      <w:lvlJc w:val="left"/>
      <w:pPr>
        <w:ind w:left="960" w:hanging="360"/>
      </w:pPr>
      <w:rPr>
        <w:rFonts w:hint="default"/>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2" w15:restartNumberingAfterBreak="0">
    <w:nsid w:val="2668273D"/>
    <w:multiLevelType w:val="hybridMultilevel"/>
    <w:tmpl w:val="4E78BDD4"/>
    <w:lvl w:ilvl="0" w:tplc="B9162DC6">
      <w:start w:val="1"/>
      <w:numFmt w:val="decimal"/>
      <w:lvlText w:val="%1)"/>
      <w:lvlJc w:val="left"/>
      <w:pPr>
        <w:ind w:left="960" w:hanging="360"/>
      </w:pPr>
      <w:rPr>
        <w:rFonts w:hint="default"/>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3" w15:restartNumberingAfterBreak="0">
    <w:nsid w:val="39FB0ECF"/>
    <w:multiLevelType w:val="hybridMultilevel"/>
    <w:tmpl w:val="8F4AB502"/>
    <w:lvl w:ilvl="0" w:tplc="04180011">
      <w:start w:val="1"/>
      <w:numFmt w:val="decimal"/>
      <w:lvlText w:val="%1)"/>
      <w:lvlJc w:val="left"/>
      <w:pPr>
        <w:ind w:left="1320" w:hanging="360"/>
      </w:pPr>
    </w:lvl>
    <w:lvl w:ilvl="1" w:tplc="04180019" w:tentative="1">
      <w:start w:val="1"/>
      <w:numFmt w:val="lowerLetter"/>
      <w:lvlText w:val="%2."/>
      <w:lvlJc w:val="left"/>
      <w:pPr>
        <w:ind w:left="2040" w:hanging="360"/>
      </w:pPr>
    </w:lvl>
    <w:lvl w:ilvl="2" w:tplc="0418001B" w:tentative="1">
      <w:start w:val="1"/>
      <w:numFmt w:val="lowerRoman"/>
      <w:lvlText w:val="%3."/>
      <w:lvlJc w:val="right"/>
      <w:pPr>
        <w:ind w:left="2760" w:hanging="180"/>
      </w:pPr>
    </w:lvl>
    <w:lvl w:ilvl="3" w:tplc="0418000F" w:tentative="1">
      <w:start w:val="1"/>
      <w:numFmt w:val="decimal"/>
      <w:lvlText w:val="%4."/>
      <w:lvlJc w:val="left"/>
      <w:pPr>
        <w:ind w:left="3480" w:hanging="360"/>
      </w:pPr>
    </w:lvl>
    <w:lvl w:ilvl="4" w:tplc="04180019" w:tentative="1">
      <w:start w:val="1"/>
      <w:numFmt w:val="lowerLetter"/>
      <w:lvlText w:val="%5."/>
      <w:lvlJc w:val="left"/>
      <w:pPr>
        <w:ind w:left="4200" w:hanging="360"/>
      </w:pPr>
    </w:lvl>
    <w:lvl w:ilvl="5" w:tplc="0418001B" w:tentative="1">
      <w:start w:val="1"/>
      <w:numFmt w:val="lowerRoman"/>
      <w:lvlText w:val="%6."/>
      <w:lvlJc w:val="right"/>
      <w:pPr>
        <w:ind w:left="4920" w:hanging="180"/>
      </w:pPr>
    </w:lvl>
    <w:lvl w:ilvl="6" w:tplc="0418000F" w:tentative="1">
      <w:start w:val="1"/>
      <w:numFmt w:val="decimal"/>
      <w:lvlText w:val="%7."/>
      <w:lvlJc w:val="left"/>
      <w:pPr>
        <w:ind w:left="5640" w:hanging="360"/>
      </w:pPr>
    </w:lvl>
    <w:lvl w:ilvl="7" w:tplc="04180019" w:tentative="1">
      <w:start w:val="1"/>
      <w:numFmt w:val="lowerLetter"/>
      <w:lvlText w:val="%8."/>
      <w:lvlJc w:val="left"/>
      <w:pPr>
        <w:ind w:left="6360" w:hanging="360"/>
      </w:pPr>
    </w:lvl>
    <w:lvl w:ilvl="8" w:tplc="0418001B" w:tentative="1">
      <w:start w:val="1"/>
      <w:numFmt w:val="lowerRoman"/>
      <w:lvlText w:val="%9."/>
      <w:lvlJc w:val="right"/>
      <w:pPr>
        <w:ind w:left="7080" w:hanging="180"/>
      </w:pPr>
    </w:lvl>
  </w:abstractNum>
  <w:abstractNum w:abstractNumId="4" w15:restartNumberingAfterBreak="0">
    <w:nsid w:val="45C60A84"/>
    <w:multiLevelType w:val="hybridMultilevel"/>
    <w:tmpl w:val="953CB878"/>
    <w:lvl w:ilvl="0" w:tplc="EAF42706">
      <w:start w:val="1"/>
      <w:numFmt w:val="decimal"/>
      <w:lvlText w:val="%1."/>
      <w:lvlJc w:val="left"/>
      <w:pPr>
        <w:ind w:left="960" w:hanging="360"/>
      </w:pPr>
      <w:rPr>
        <w:rFonts w:hint="default"/>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5" w15:restartNumberingAfterBreak="0">
    <w:nsid w:val="48D37B9D"/>
    <w:multiLevelType w:val="hybridMultilevel"/>
    <w:tmpl w:val="93081C90"/>
    <w:lvl w:ilvl="0" w:tplc="60C28068">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6" w15:restartNumberingAfterBreak="0">
    <w:nsid w:val="495B6153"/>
    <w:multiLevelType w:val="multilevel"/>
    <w:tmpl w:val="E564F3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F0774B"/>
    <w:multiLevelType w:val="hybridMultilevel"/>
    <w:tmpl w:val="9548603E"/>
    <w:lvl w:ilvl="0" w:tplc="8EDAEC9A">
      <w:start w:val="1"/>
      <w:numFmt w:val="decimal"/>
      <w:lvlText w:val="%1)"/>
      <w:lvlJc w:val="left"/>
      <w:pPr>
        <w:ind w:left="960" w:hanging="360"/>
      </w:pPr>
      <w:rPr>
        <w:rFonts w:hint="default"/>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8" w15:restartNumberingAfterBreak="0">
    <w:nsid w:val="52B07B2C"/>
    <w:multiLevelType w:val="hybridMultilevel"/>
    <w:tmpl w:val="5B2400A6"/>
    <w:lvl w:ilvl="0" w:tplc="7E642330">
      <w:start w:val="1"/>
      <w:numFmt w:val="decimal"/>
      <w:lvlText w:val="%1)"/>
      <w:lvlJc w:val="left"/>
      <w:pPr>
        <w:ind w:left="960" w:hanging="360"/>
      </w:pPr>
      <w:rPr>
        <w:rFonts w:hint="default"/>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9" w15:restartNumberingAfterBreak="0">
    <w:nsid w:val="5AFD6D86"/>
    <w:multiLevelType w:val="multilevel"/>
    <w:tmpl w:val="E0DCEDD8"/>
    <w:lvl w:ilvl="0">
      <w:start w:val="1"/>
      <w:numFmt w:val="lowerLetter"/>
      <w:lvlText w:val="%1)"/>
      <w:lvlJc w:val="left"/>
      <w:rPr>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C8F68B6"/>
    <w:multiLevelType w:val="hybridMultilevel"/>
    <w:tmpl w:val="6CF69350"/>
    <w:lvl w:ilvl="0" w:tplc="EE70FF94">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1" w15:restartNumberingAfterBreak="0">
    <w:nsid w:val="79520FE0"/>
    <w:multiLevelType w:val="hybridMultilevel"/>
    <w:tmpl w:val="F4700160"/>
    <w:lvl w:ilvl="0" w:tplc="4E0461BC">
      <w:start w:val="1"/>
      <w:numFmt w:val="decimal"/>
      <w:lvlText w:val="%1)"/>
      <w:lvlJc w:val="left"/>
      <w:pPr>
        <w:ind w:left="960" w:hanging="360"/>
      </w:pPr>
      <w:rPr>
        <w:rFonts w:hint="default"/>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num w:numId="1">
    <w:abstractNumId w:val="6"/>
  </w:num>
  <w:num w:numId="2">
    <w:abstractNumId w:val="9"/>
  </w:num>
  <w:num w:numId="3">
    <w:abstractNumId w:val="3"/>
  </w:num>
  <w:num w:numId="4">
    <w:abstractNumId w:val="2"/>
  </w:num>
  <w:num w:numId="5">
    <w:abstractNumId w:val="7"/>
  </w:num>
  <w:num w:numId="6">
    <w:abstractNumId w:val="4"/>
  </w:num>
  <w:num w:numId="7">
    <w:abstractNumId w:val="8"/>
  </w:num>
  <w:num w:numId="8">
    <w:abstractNumId w:val="11"/>
  </w:num>
  <w:num w:numId="9">
    <w:abstractNumId w:val="1"/>
  </w:num>
  <w:num w:numId="10">
    <w:abstractNumId w:val="0"/>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A0B"/>
    <w:rsid w:val="00007864"/>
    <w:rsid w:val="00011EB5"/>
    <w:rsid w:val="000163C2"/>
    <w:rsid w:val="0002061E"/>
    <w:rsid w:val="000307E7"/>
    <w:rsid w:val="0004047B"/>
    <w:rsid w:val="000548DE"/>
    <w:rsid w:val="00063806"/>
    <w:rsid w:val="00072FFA"/>
    <w:rsid w:val="0007560A"/>
    <w:rsid w:val="000850DD"/>
    <w:rsid w:val="000A64EF"/>
    <w:rsid w:val="000B037D"/>
    <w:rsid w:val="000B0A02"/>
    <w:rsid w:val="000C6248"/>
    <w:rsid w:val="000D1D36"/>
    <w:rsid w:val="000D7440"/>
    <w:rsid w:val="000E255D"/>
    <w:rsid w:val="000F49BF"/>
    <w:rsid w:val="000F6CD0"/>
    <w:rsid w:val="000F7024"/>
    <w:rsid w:val="00106D74"/>
    <w:rsid w:val="001110CD"/>
    <w:rsid w:val="001141D4"/>
    <w:rsid w:val="00134767"/>
    <w:rsid w:val="00135123"/>
    <w:rsid w:val="00136FB2"/>
    <w:rsid w:val="00141062"/>
    <w:rsid w:val="00141CC4"/>
    <w:rsid w:val="00144103"/>
    <w:rsid w:val="00153495"/>
    <w:rsid w:val="00156D26"/>
    <w:rsid w:val="0016424A"/>
    <w:rsid w:val="0018093D"/>
    <w:rsid w:val="00181C15"/>
    <w:rsid w:val="00185D64"/>
    <w:rsid w:val="001861EE"/>
    <w:rsid w:val="001935E4"/>
    <w:rsid w:val="0019421B"/>
    <w:rsid w:val="001A6635"/>
    <w:rsid w:val="001C385E"/>
    <w:rsid w:val="001C4035"/>
    <w:rsid w:val="001C76A0"/>
    <w:rsid w:val="001D198A"/>
    <w:rsid w:val="001D2950"/>
    <w:rsid w:val="001E492D"/>
    <w:rsid w:val="001F54F0"/>
    <w:rsid w:val="00200054"/>
    <w:rsid w:val="00202597"/>
    <w:rsid w:val="00205A5D"/>
    <w:rsid w:val="00220495"/>
    <w:rsid w:val="00225DE2"/>
    <w:rsid w:val="00233A28"/>
    <w:rsid w:val="00236EF3"/>
    <w:rsid w:val="00240746"/>
    <w:rsid w:val="002408C7"/>
    <w:rsid w:val="00251BC5"/>
    <w:rsid w:val="002546A2"/>
    <w:rsid w:val="002551A4"/>
    <w:rsid w:val="00255E0E"/>
    <w:rsid w:val="00271490"/>
    <w:rsid w:val="00280C3D"/>
    <w:rsid w:val="00284AE6"/>
    <w:rsid w:val="00285C6C"/>
    <w:rsid w:val="002940DE"/>
    <w:rsid w:val="002960AC"/>
    <w:rsid w:val="002B3239"/>
    <w:rsid w:val="002B4938"/>
    <w:rsid w:val="002C275C"/>
    <w:rsid w:val="002C5D17"/>
    <w:rsid w:val="002C7733"/>
    <w:rsid w:val="002F0BA5"/>
    <w:rsid w:val="00303EA1"/>
    <w:rsid w:val="003069A4"/>
    <w:rsid w:val="003074BE"/>
    <w:rsid w:val="00311253"/>
    <w:rsid w:val="00327739"/>
    <w:rsid w:val="00331BFB"/>
    <w:rsid w:val="0034590D"/>
    <w:rsid w:val="00357B1E"/>
    <w:rsid w:val="00357C12"/>
    <w:rsid w:val="00361DFF"/>
    <w:rsid w:val="00387542"/>
    <w:rsid w:val="00392A20"/>
    <w:rsid w:val="003B38BA"/>
    <w:rsid w:val="003B5F36"/>
    <w:rsid w:val="003C4B32"/>
    <w:rsid w:val="003D353C"/>
    <w:rsid w:val="003D5FA0"/>
    <w:rsid w:val="003D6C03"/>
    <w:rsid w:val="003F67C2"/>
    <w:rsid w:val="003F79CC"/>
    <w:rsid w:val="00411A2C"/>
    <w:rsid w:val="00412D4C"/>
    <w:rsid w:val="00426188"/>
    <w:rsid w:val="00427819"/>
    <w:rsid w:val="0047590E"/>
    <w:rsid w:val="0049420D"/>
    <w:rsid w:val="004962E6"/>
    <w:rsid w:val="004C41CD"/>
    <w:rsid w:val="004D0FF5"/>
    <w:rsid w:val="004D1D43"/>
    <w:rsid w:val="004F3D46"/>
    <w:rsid w:val="00503513"/>
    <w:rsid w:val="00504E82"/>
    <w:rsid w:val="00510228"/>
    <w:rsid w:val="00516CA5"/>
    <w:rsid w:val="00523C56"/>
    <w:rsid w:val="0052597F"/>
    <w:rsid w:val="00531F54"/>
    <w:rsid w:val="00532B66"/>
    <w:rsid w:val="00544821"/>
    <w:rsid w:val="005478F2"/>
    <w:rsid w:val="00553949"/>
    <w:rsid w:val="005679E3"/>
    <w:rsid w:val="0057141C"/>
    <w:rsid w:val="00576E75"/>
    <w:rsid w:val="00581A9C"/>
    <w:rsid w:val="005862A1"/>
    <w:rsid w:val="00595D6B"/>
    <w:rsid w:val="00597D9C"/>
    <w:rsid w:val="005A5477"/>
    <w:rsid w:val="005A5991"/>
    <w:rsid w:val="005D6365"/>
    <w:rsid w:val="005E0948"/>
    <w:rsid w:val="005E33BB"/>
    <w:rsid w:val="005E4A7F"/>
    <w:rsid w:val="00613AA5"/>
    <w:rsid w:val="0062327B"/>
    <w:rsid w:val="006315A1"/>
    <w:rsid w:val="00633115"/>
    <w:rsid w:val="00633367"/>
    <w:rsid w:val="00635E10"/>
    <w:rsid w:val="00645B78"/>
    <w:rsid w:val="00661BFD"/>
    <w:rsid w:val="00663E48"/>
    <w:rsid w:val="006648CB"/>
    <w:rsid w:val="00680F13"/>
    <w:rsid w:val="006A1BE7"/>
    <w:rsid w:val="006B2335"/>
    <w:rsid w:val="006C5DAB"/>
    <w:rsid w:val="006C62E3"/>
    <w:rsid w:val="006D3F35"/>
    <w:rsid w:val="006F6078"/>
    <w:rsid w:val="007231AA"/>
    <w:rsid w:val="0072368D"/>
    <w:rsid w:val="00723A4C"/>
    <w:rsid w:val="00750A22"/>
    <w:rsid w:val="00781092"/>
    <w:rsid w:val="007951E8"/>
    <w:rsid w:val="00796834"/>
    <w:rsid w:val="007A30E1"/>
    <w:rsid w:val="007A5722"/>
    <w:rsid w:val="007A5929"/>
    <w:rsid w:val="007B2104"/>
    <w:rsid w:val="007B3570"/>
    <w:rsid w:val="007C2438"/>
    <w:rsid w:val="007C7991"/>
    <w:rsid w:val="007D2A0B"/>
    <w:rsid w:val="008000BE"/>
    <w:rsid w:val="008332B9"/>
    <w:rsid w:val="00835F64"/>
    <w:rsid w:val="00836788"/>
    <w:rsid w:val="00843DE1"/>
    <w:rsid w:val="00850741"/>
    <w:rsid w:val="008648D7"/>
    <w:rsid w:val="00865F97"/>
    <w:rsid w:val="00874080"/>
    <w:rsid w:val="00881B3E"/>
    <w:rsid w:val="008855E4"/>
    <w:rsid w:val="0089465B"/>
    <w:rsid w:val="008957ED"/>
    <w:rsid w:val="008A22AF"/>
    <w:rsid w:val="008B05D5"/>
    <w:rsid w:val="008C417C"/>
    <w:rsid w:val="008D29DA"/>
    <w:rsid w:val="008D2D01"/>
    <w:rsid w:val="008F2C3D"/>
    <w:rsid w:val="008F391A"/>
    <w:rsid w:val="00902874"/>
    <w:rsid w:val="00903959"/>
    <w:rsid w:val="00910EB5"/>
    <w:rsid w:val="00920F5F"/>
    <w:rsid w:val="00925D55"/>
    <w:rsid w:val="0092645A"/>
    <w:rsid w:val="00927056"/>
    <w:rsid w:val="0093100D"/>
    <w:rsid w:val="009342CF"/>
    <w:rsid w:val="00940607"/>
    <w:rsid w:val="009430D8"/>
    <w:rsid w:val="00971B70"/>
    <w:rsid w:val="00972F09"/>
    <w:rsid w:val="009753E7"/>
    <w:rsid w:val="00997876"/>
    <w:rsid w:val="009A29EF"/>
    <w:rsid w:val="009C794B"/>
    <w:rsid w:val="009D4E55"/>
    <w:rsid w:val="009E2F6A"/>
    <w:rsid w:val="00A00995"/>
    <w:rsid w:val="00A2095C"/>
    <w:rsid w:val="00A21873"/>
    <w:rsid w:val="00A3010B"/>
    <w:rsid w:val="00A3714B"/>
    <w:rsid w:val="00A43154"/>
    <w:rsid w:val="00A7243A"/>
    <w:rsid w:val="00A90FB5"/>
    <w:rsid w:val="00A95FD6"/>
    <w:rsid w:val="00AA6DB8"/>
    <w:rsid w:val="00AB52BD"/>
    <w:rsid w:val="00AB7314"/>
    <w:rsid w:val="00AB78BD"/>
    <w:rsid w:val="00AD1610"/>
    <w:rsid w:val="00AE0717"/>
    <w:rsid w:val="00B012B9"/>
    <w:rsid w:val="00B02333"/>
    <w:rsid w:val="00B05C87"/>
    <w:rsid w:val="00B14EF3"/>
    <w:rsid w:val="00B27AE6"/>
    <w:rsid w:val="00B27B29"/>
    <w:rsid w:val="00B41A26"/>
    <w:rsid w:val="00B4218C"/>
    <w:rsid w:val="00B47383"/>
    <w:rsid w:val="00B4764E"/>
    <w:rsid w:val="00B6308F"/>
    <w:rsid w:val="00B65CE0"/>
    <w:rsid w:val="00B86C70"/>
    <w:rsid w:val="00BC04F7"/>
    <w:rsid w:val="00BC2116"/>
    <w:rsid w:val="00BC2641"/>
    <w:rsid w:val="00BD1922"/>
    <w:rsid w:val="00BD23AD"/>
    <w:rsid w:val="00BE34AE"/>
    <w:rsid w:val="00BF0C3A"/>
    <w:rsid w:val="00C041C1"/>
    <w:rsid w:val="00C130DB"/>
    <w:rsid w:val="00C132F1"/>
    <w:rsid w:val="00C14C02"/>
    <w:rsid w:val="00C27867"/>
    <w:rsid w:val="00C45344"/>
    <w:rsid w:val="00C473D1"/>
    <w:rsid w:val="00C518D1"/>
    <w:rsid w:val="00C630AC"/>
    <w:rsid w:val="00C667EE"/>
    <w:rsid w:val="00C67EF0"/>
    <w:rsid w:val="00C8435F"/>
    <w:rsid w:val="00C91748"/>
    <w:rsid w:val="00CA0C51"/>
    <w:rsid w:val="00CB257F"/>
    <w:rsid w:val="00CB2D47"/>
    <w:rsid w:val="00CC6577"/>
    <w:rsid w:val="00CD0ED7"/>
    <w:rsid w:val="00CD56FA"/>
    <w:rsid w:val="00CE1850"/>
    <w:rsid w:val="00CE2613"/>
    <w:rsid w:val="00CE7130"/>
    <w:rsid w:val="00CF5B6B"/>
    <w:rsid w:val="00CF654B"/>
    <w:rsid w:val="00D02FE7"/>
    <w:rsid w:val="00D032A7"/>
    <w:rsid w:val="00D108B2"/>
    <w:rsid w:val="00D21824"/>
    <w:rsid w:val="00D42FAC"/>
    <w:rsid w:val="00D51C3D"/>
    <w:rsid w:val="00D53260"/>
    <w:rsid w:val="00D6264C"/>
    <w:rsid w:val="00D7019F"/>
    <w:rsid w:val="00D750CD"/>
    <w:rsid w:val="00D76B1C"/>
    <w:rsid w:val="00D82186"/>
    <w:rsid w:val="00D854FA"/>
    <w:rsid w:val="00D87300"/>
    <w:rsid w:val="00DC168F"/>
    <w:rsid w:val="00DC2EAC"/>
    <w:rsid w:val="00DD2147"/>
    <w:rsid w:val="00DF1169"/>
    <w:rsid w:val="00DF2A4F"/>
    <w:rsid w:val="00E06E82"/>
    <w:rsid w:val="00E30A16"/>
    <w:rsid w:val="00E34467"/>
    <w:rsid w:val="00E3723D"/>
    <w:rsid w:val="00E40E32"/>
    <w:rsid w:val="00E419C4"/>
    <w:rsid w:val="00E52895"/>
    <w:rsid w:val="00E55FD5"/>
    <w:rsid w:val="00E83A11"/>
    <w:rsid w:val="00E86E7D"/>
    <w:rsid w:val="00E92B89"/>
    <w:rsid w:val="00EA1E96"/>
    <w:rsid w:val="00EA37C1"/>
    <w:rsid w:val="00EA3BEE"/>
    <w:rsid w:val="00ED79EF"/>
    <w:rsid w:val="00EE0FF0"/>
    <w:rsid w:val="00EE1FEE"/>
    <w:rsid w:val="00EE57F2"/>
    <w:rsid w:val="00EF0762"/>
    <w:rsid w:val="00EF1109"/>
    <w:rsid w:val="00EF17D6"/>
    <w:rsid w:val="00F15257"/>
    <w:rsid w:val="00F17ED6"/>
    <w:rsid w:val="00F23CE3"/>
    <w:rsid w:val="00F3081E"/>
    <w:rsid w:val="00F373DF"/>
    <w:rsid w:val="00F416FB"/>
    <w:rsid w:val="00F5205D"/>
    <w:rsid w:val="00F54FCB"/>
    <w:rsid w:val="00F64910"/>
    <w:rsid w:val="00F704B1"/>
    <w:rsid w:val="00F90359"/>
    <w:rsid w:val="00F9436D"/>
    <w:rsid w:val="00FB1BC7"/>
    <w:rsid w:val="00FC271D"/>
    <w:rsid w:val="00FE7CC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93F61"/>
  <w15:docId w15:val="{233D3794-D364-4E78-B77C-0AF21F123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o-RO" w:eastAsia="ro-RO" w:bidi="ro-RO"/>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iCs/>
      <w:smallCaps w:val="0"/>
      <w:strike w:val="0"/>
      <w:sz w:val="22"/>
      <w:szCs w:val="22"/>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Headerorfooter">
    <w:name w:val="Header or footer_"/>
    <w:basedOn w:val="DefaultParagraphFont"/>
    <w:link w:val="Headerorfooter0"/>
    <w:rPr>
      <w:rFonts w:ascii="Times New Roman" w:eastAsia="Times New Roman" w:hAnsi="Times New Roman" w:cs="Times New Roman"/>
      <w:b/>
      <w:bCs/>
      <w:i w:val="0"/>
      <w:iCs w:val="0"/>
      <w:smallCaps w:val="0"/>
      <w:strike w:val="0"/>
      <w:sz w:val="20"/>
      <w:szCs w:val="20"/>
      <w:u w:val="none"/>
    </w:rPr>
  </w:style>
  <w:style w:type="character" w:customStyle="1" w:styleId="Headerorfooter1">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o-RO" w:eastAsia="ro-RO" w:bidi="ro-RO"/>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color w:val="000000"/>
      <w:spacing w:val="0"/>
      <w:w w:val="100"/>
      <w:position w:val="0"/>
      <w:sz w:val="22"/>
      <w:szCs w:val="22"/>
      <w:u w:val="single"/>
      <w:lang w:val="ro-RO" w:eastAsia="ro-RO" w:bidi="ro-RO"/>
    </w:rPr>
  </w:style>
  <w:style w:type="paragraph" w:customStyle="1" w:styleId="Heading10">
    <w:name w:val="Heading #1"/>
    <w:basedOn w:val="Normal"/>
    <w:link w:val="Heading1"/>
    <w:pPr>
      <w:shd w:val="clear" w:color="auto" w:fill="FFFFFF"/>
      <w:spacing w:after="720" w:line="0" w:lineRule="atLeast"/>
      <w:jc w:val="right"/>
      <w:outlineLvl w:val="0"/>
    </w:pPr>
    <w:rPr>
      <w:rFonts w:ascii="Times New Roman" w:eastAsia="Times New Roman" w:hAnsi="Times New Roman" w:cs="Times New Roman"/>
      <w:b/>
      <w:bCs/>
    </w:rPr>
  </w:style>
  <w:style w:type="paragraph" w:customStyle="1" w:styleId="Bodytext30">
    <w:name w:val="Body text (3)"/>
    <w:basedOn w:val="Normal"/>
    <w:link w:val="Bodytext3"/>
    <w:pPr>
      <w:shd w:val="clear" w:color="auto" w:fill="FFFFFF"/>
      <w:spacing w:before="360" w:after="360" w:line="322" w:lineRule="exact"/>
    </w:pPr>
    <w:rPr>
      <w:rFonts w:ascii="Times New Roman" w:eastAsia="Times New Roman" w:hAnsi="Times New Roman" w:cs="Times New Roman"/>
      <w:i/>
      <w:iCs/>
      <w:sz w:val="22"/>
      <w:szCs w:val="22"/>
    </w:rPr>
  </w:style>
  <w:style w:type="paragraph" w:customStyle="1" w:styleId="Bodytext20">
    <w:name w:val="Body text (2)"/>
    <w:basedOn w:val="Normal"/>
    <w:link w:val="Bodytext2"/>
    <w:pPr>
      <w:shd w:val="clear" w:color="auto" w:fill="FFFFFF"/>
      <w:spacing w:before="360" w:after="60" w:line="336" w:lineRule="exac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b/>
      <w:bCs/>
      <w:sz w:val="20"/>
      <w:szCs w:val="20"/>
    </w:rPr>
  </w:style>
  <w:style w:type="character" w:customStyle="1" w:styleId="Bodytext712pt">
    <w:name w:val="Body text (7) + 12 pt"/>
    <w:rsid w:val="00236EF3"/>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ro-RO" w:eastAsia="ro-RO" w:bidi="ro-RO"/>
    </w:rPr>
  </w:style>
  <w:style w:type="character" w:customStyle="1" w:styleId="Bodytext7Bold">
    <w:name w:val="Body text (7) + Bold"/>
    <w:rsid w:val="00236EF3"/>
    <w:rPr>
      <w:rFonts w:ascii="Times New Roman" w:eastAsia="Times New Roman" w:hAnsi="Times New Roman" w:cs="Times New Roman" w:hint="default"/>
      <w:b/>
      <w:bCs/>
      <w:i/>
      <w:iCs/>
      <w:smallCaps w:val="0"/>
      <w:strike w:val="0"/>
      <w:dstrike w:val="0"/>
      <w:color w:val="000000"/>
      <w:spacing w:val="0"/>
      <w:w w:val="100"/>
      <w:position w:val="0"/>
      <w:sz w:val="22"/>
      <w:szCs w:val="22"/>
      <w:u w:val="none"/>
      <w:effect w:val="none"/>
      <w:lang w:val="ro-RO" w:eastAsia="ro-RO" w:bidi="ro-RO"/>
    </w:rPr>
  </w:style>
  <w:style w:type="character" w:customStyle="1" w:styleId="Bodytext78pt">
    <w:name w:val="Body text (7) + 8 pt"/>
    <w:aliases w:val="Not Italic,Spacing 0 pt"/>
    <w:rsid w:val="00236EF3"/>
    <w:rPr>
      <w:rFonts w:ascii="Times New Roman" w:eastAsia="Times New Roman" w:hAnsi="Times New Roman" w:cs="Times New Roman" w:hint="default"/>
      <w:b w:val="0"/>
      <w:bCs w:val="0"/>
      <w:i/>
      <w:iCs/>
      <w:smallCaps w:val="0"/>
      <w:strike w:val="0"/>
      <w:dstrike w:val="0"/>
      <w:color w:val="000000"/>
      <w:spacing w:val="10"/>
      <w:w w:val="100"/>
      <w:position w:val="0"/>
      <w:sz w:val="16"/>
      <w:szCs w:val="16"/>
      <w:u w:val="none"/>
      <w:effect w:val="none"/>
      <w:lang w:val="ro-RO" w:eastAsia="ro-RO" w:bidi="ro-RO"/>
    </w:rPr>
  </w:style>
  <w:style w:type="paragraph" w:styleId="Header">
    <w:name w:val="header"/>
    <w:basedOn w:val="Normal"/>
    <w:link w:val="HeaderChar"/>
    <w:uiPriority w:val="99"/>
    <w:unhideWhenUsed/>
    <w:rsid w:val="00F373DF"/>
    <w:pPr>
      <w:tabs>
        <w:tab w:val="center" w:pos="4680"/>
        <w:tab w:val="right" w:pos="9360"/>
      </w:tabs>
    </w:pPr>
  </w:style>
  <w:style w:type="character" w:customStyle="1" w:styleId="HeaderChar">
    <w:name w:val="Header Char"/>
    <w:basedOn w:val="DefaultParagraphFont"/>
    <w:link w:val="Header"/>
    <w:uiPriority w:val="99"/>
    <w:rsid w:val="00F373DF"/>
    <w:rPr>
      <w:color w:val="000000"/>
    </w:rPr>
  </w:style>
  <w:style w:type="paragraph" w:styleId="Footer">
    <w:name w:val="footer"/>
    <w:basedOn w:val="Normal"/>
    <w:link w:val="FooterChar"/>
    <w:uiPriority w:val="99"/>
    <w:unhideWhenUsed/>
    <w:rsid w:val="00F373DF"/>
    <w:pPr>
      <w:tabs>
        <w:tab w:val="center" w:pos="4680"/>
        <w:tab w:val="right" w:pos="9360"/>
      </w:tabs>
    </w:pPr>
  </w:style>
  <w:style w:type="character" w:customStyle="1" w:styleId="FooterChar">
    <w:name w:val="Footer Char"/>
    <w:basedOn w:val="DefaultParagraphFont"/>
    <w:link w:val="Footer"/>
    <w:uiPriority w:val="99"/>
    <w:rsid w:val="00F373DF"/>
    <w:rPr>
      <w:color w:val="000000"/>
    </w:rPr>
  </w:style>
  <w:style w:type="paragraph" w:styleId="ListParagraph">
    <w:name w:val="List Paragraph"/>
    <w:basedOn w:val="Normal"/>
    <w:uiPriority w:val="34"/>
    <w:qFormat/>
    <w:rsid w:val="00510228"/>
    <w:pPr>
      <w:widowControl/>
      <w:spacing w:after="200" w:line="276" w:lineRule="auto"/>
      <w:ind w:left="720"/>
      <w:contextualSpacing/>
    </w:pPr>
    <w:rPr>
      <w:rFonts w:ascii="Calibri" w:eastAsia="SimSun" w:hAnsi="Calibri" w:cs="Times New Roman"/>
      <w:color w:val="auto"/>
      <w:sz w:val="22"/>
      <w:szCs w:val="22"/>
      <w:lang w:val="en-US" w:eastAsia="zh-CN" w:bidi="ar-SA"/>
    </w:rPr>
  </w:style>
  <w:style w:type="paragraph" w:styleId="BalloonText">
    <w:name w:val="Balloon Text"/>
    <w:basedOn w:val="Normal"/>
    <w:link w:val="BalloonTextChar"/>
    <w:uiPriority w:val="99"/>
    <w:semiHidden/>
    <w:unhideWhenUsed/>
    <w:rsid w:val="009039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959"/>
    <w:rPr>
      <w:rFonts w:ascii="Segoe UI" w:hAnsi="Segoe UI" w:cs="Segoe UI"/>
      <w:color w:val="000000"/>
      <w:sz w:val="18"/>
      <w:szCs w:val="18"/>
    </w:rPr>
  </w:style>
  <w:style w:type="paragraph" w:styleId="NormalWeb">
    <w:name w:val="Normal (Web)"/>
    <w:basedOn w:val="Normal"/>
    <w:uiPriority w:val="99"/>
    <w:unhideWhenUsed/>
    <w:rsid w:val="00A7243A"/>
    <w:pPr>
      <w:widowControl/>
      <w:ind w:firstLine="567"/>
      <w:jc w:val="both"/>
    </w:pPr>
    <w:rPr>
      <w:rFonts w:ascii="Times New Roman" w:eastAsiaTheme="minorEastAsia" w:hAnsi="Times New Roman" w:cs="Times New Roman"/>
      <w:color w:val="auto"/>
      <w:lang w:val="en-US" w:eastAsia="en-US" w:bidi="ar-SA"/>
    </w:rPr>
  </w:style>
  <w:style w:type="character" w:styleId="CommentReference">
    <w:name w:val="annotation reference"/>
    <w:basedOn w:val="DefaultParagraphFont"/>
    <w:uiPriority w:val="99"/>
    <w:semiHidden/>
    <w:unhideWhenUsed/>
    <w:rsid w:val="00205A5D"/>
    <w:rPr>
      <w:sz w:val="16"/>
      <w:szCs w:val="16"/>
    </w:rPr>
  </w:style>
  <w:style w:type="paragraph" w:styleId="CommentText">
    <w:name w:val="annotation text"/>
    <w:basedOn w:val="Normal"/>
    <w:link w:val="CommentTextChar"/>
    <w:uiPriority w:val="99"/>
    <w:semiHidden/>
    <w:unhideWhenUsed/>
    <w:rsid w:val="00205A5D"/>
    <w:rPr>
      <w:sz w:val="20"/>
      <w:szCs w:val="20"/>
    </w:rPr>
  </w:style>
  <w:style w:type="character" w:customStyle="1" w:styleId="CommentTextChar">
    <w:name w:val="Comment Text Char"/>
    <w:basedOn w:val="DefaultParagraphFont"/>
    <w:link w:val="CommentText"/>
    <w:uiPriority w:val="99"/>
    <w:semiHidden/>
    <w:rsid w:val="00205A5D"/>
    <w:rPr>
      <w:color w:val="000000"/>
      <w:sz w:val="20"/>
      <w:szCs w:val="20"/>
    </w:rPr>
  </w:style>
  <w:style w:type="paragraph" w:styleId="CommentSubject">
    <w:name w:val="annotation subject"/>
    <w:basedOn w:val="CommentText"/>
    <w:next w:val="CommentText"/>
    <w:link w:val="CommentSubjectChar"/>
    <w:uiPriority w:val="99"/>
    <w:semiHidden/>
    <w:unhideWhenUsed/>
    <w:rsid w:val="00205A5D"/>
    <w:rPr>
      <w:b/>
      <w:bCs/>
    </w:rPr>
  </w:style>
  <w:style w:type="character" w:customStyle="1" w:styleId="CommentSubjectChar">
    <w:name w:val="Comment Subject Char"/>
    <w:basedOn w:val="CommentTextChar"/>
    <w:link w:val="CommentSubject"/>
    <w:uiPriority w:val="99"/>
    <w:semiHidden/>
    <w:rsid w:val="00205A5D"/>
    <w:rPr>
      <w:b/>
      <w:bCs/>
      <w:color w:val="000000"/>
      <w:sz w:val="20"/>
      <w:szCs w:val="20"/>
    </w:rPr>
  </w:style>
  <w:style w:type="table" w:styleId="TableGrid">
    <w:name w:val="Table Grid"/>
    <w:basedOn w:val="TableNormal"/>
    <w:uiPriority w:val="59"/>
    <w:rsid w:val="00623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40E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47901">
      <w:bodyDiv w:val="1"/>
      <w:marLeft w:val="0"/>
      <w:marRight w:val="0"/>
      <w:marTop w:val="0"/>
      <w:marBottom w:val="0"/>
      <w:divBdr>
        <w:top w:val="none" w:sz="0" w:space="0" w:color="auto"/>
        <w:left w:val="none" w:sz="0" w:space="0" w:color="auto"/>
        <w:bottom w:val="none" w:sz="0" w:space="0" w:color="auto"/>
        <w:right w:val="none" w:sz="0" w:space="0" w:color="auto"/>
      </w:divBdr>
    </w:div>
    <w:div w:id="318533867">
      <w:bodyDiv w:val="1"/>
      <w:marLeft w:val="0"/>
      <w:marRight w:val="0"/>
      <w:marTop w:val="0"/>
      <w:marBottom w:val="0"/>
      <w:divBdr>
        <w:top w:val="none" w:sz="0" w:space="0" w:color="auto"/>
        <w:left w:val="none" w:sz="0" w:space="0" w:color="auto"/>
        <w:bottom w:val="none" w:sz="0" w:space="0" w:color="auto"/>
        <w:right w:val="none" w:sz="0" w:space="0" w:color="auto"/>
      </w:divBdr>
    </w:div>
    <w:div w:id="369960782">
      <w:bodyDiv w:val="1"/>
      <w:marLeft w:val="0"/>
      <w:marRight w:val="0"/>
      <w:marTop w:val="0"/>
      <w:marBottom w:val="0"/>
      <w:divBdr>
        <w:top w:val="none" w:sz="0" w:space="0" w:color="auto"/>
        <w:left w:val="none" w:sz="0" w:space="0" w:color="auto"/>
        <w:bottom w:val="none" w:sz="0" w:space="0" w:color="auto"/>
        <w:right w:val="none" w:sz="0" w:space="0" w:color="auto"/>
      </w:divBdr>
    </w:div>
    <w:div w:id="652488646">
      <w:bodyDiv w:val="1"/>
      <w:marLeft w:val="0"/>
      <w:marRight w:val="0"/>
      <w:marTop w:val="0"/>
      <w:marBottom w:val="0"/>
      <w:divBdr>
        <w:top w:val="none" w:sz="0" w:space="0" w:color="auto"/>
        <w:left w:val="none" w:sz="0" w:space="0" w:color="auto"/>
        <w:bottom w:val="none" w:sz="0" w:space="0" w:color="auto"/>
        <w:right w:val="none" w:sz="0" w:space="0" w:color="auto"/>
      </w:divBdr>
    </w:div>
    <w:div w:id="746617010">
      <w:bodyDiv w:val="1"/>
      <w:marLeft w:val="0"/>
      <w:marRight w:val="0"/>
      <w:marTop w:val="0"/>
      <w:marBottom w:val="0"/>
      <w:divBdr>
        <w:top w:val="none" w:sz="0" w:space="0" w:color="auto"/>
        <w:left w:val="none" w:sz="0" w:space="0" w:color="auto"/>
        <w:bottom w:val="none" w:sz="0" w:space="0" w:color="auto"/>
        <w:right w:val="none" w:sz="0" w:space="0" w:color="auto"/>
      </w:divBdr>
    </w:div>
    <w:div w:id="1346791128">
      <w:bodyDiv w:val="1"/>
      <w:marLeft w:val="0"/>
      <w:marRight w:val="0"/>
      <w:marTop w:val="0"/>
      <w:marBottom w:val="0"/>
      <w:divBdr>
        <w:top w:val="none" w:sz="0" w:space="0" w:color="auto"/>
        <w:left w:val="none" w:sz="0" w:space="0" w:color="auto"/>
        <w:bottom w:val="none" w:sz="0" w:space="0" w:color="auto"/>
        <w:right w:val="none" w:sz="0" w:space="0" w:color="auto"/>
      </w:divBdr>
    </w:div>
    <w:div w:id="1781602377">
      <w:bodyDiv w:val="1"/>
      <w:marLeft w:val="0"/>
      <w:marRight w:val="0"/>
      <w:marTop w:val="0"/>
      <w:marBottom w:val="0"/>
      <w:divBdr>
        <w:top w:val="none" w:sz="0" w:space="0" w:color="auto"/>
        <w:left w:val="none" w:sz="0" w:space="0" w:color="auto"/>
        <w:bottom w:val="none" w:sz="0" w:space="0" w:color="auto"/>
        <w:right w:val="none" w:sz="0" w:space="0" w:color="auto"/>
      </w:divBdr>
    </w:div>
    <w:div w:id="1915894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32088-3644-4144-ABBB-C43B5F276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1488</Words>
  <Characters>8484</Characters>
  <Application>Microsoft Office Word</Application>
  <DocSecurity>0</DocSecurity>
  <Lines>70</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Chiviriga Daniel</dc:creator>
  <cp:lastModifiedBy>Martinov Alisa</cp:lastModifiedBy>
  <cp:revision>17</cp:revision>
  <cp:lastPrinted>2024-01-17T08:12:00Z</cp:lastPrinted>
  <dcterms:created xsi:type="dcterms:W3CDTF">2025-10-03T08:30:00Z</dcterms:created>
  <dcterms:modified xsi:type="dcterms:W3CDTF">2025-10-24T11:47:00Z</dcterms:modified>
</cp:coreProperties>
</file>